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1D0FB" w14:textId="3FDDC378" w:rsidR="00545747" w:rsidRPr="004A658B" w:rsidRDefault="003800F4" w:rsidP="003800F4">
      <w:pPr>
        <w:spacing w:after="0" w:line="240" w:lineRule="auto"/>
        <w:jc w:val="center"/>
        <w:rPr>
          <w:rFonts w:ascii="Arial" w:eastAsia="Times New Roman" w:hAnsi="Arial" w:cs="Arial"/>
          <w:b/>
          <w:bCs/>
          <w:sz w:val="26"/>
          <w:szCs w:val="26"/>
          <w:u w:val="single"/>
          <w:lang w:eastAsia="es-ES"/>
        </w:rPr>
      </w:pPr>
      <w:r w:rsidRPr="004A658B">
        <w:rPr>
          <w:rFonts w:ascii="Arial" w:eastAsia="Times New Roman" w:hAnsi="Arial" w:cs="Arial"/>
          <w:b/>
          <w:bCs/>
          <w:sz w:val="26"/>
          <w:szCs w:val="26"/>
          <w:u w:val="single"/>
          <w:lang w:eastAsia="es-ES"/>
        </w:rPr>
        <w:t xml:space="preserve">INSTRUCCIONES PARA </w:t>
      </w:r>
      <w:r w:rsidR="00DB4CA9" w:rsidRPr="004A658B">
        <w:rPr>
          <w:rFonts w:ascii="Arial" w:eastAsia="Times New Roman" w:hAnsi="Arial" w:cs="Arial"/>
          <w:b/>
          <w:bCs/>
          <w:sz w:val="26"/>
          <w:szCs w:val="26"/>
          <w:u w:val="single"/>
          <w:lang w:eastAsia="es-ES"/>
        </w:rPr>
        <w:t xml:space="preserve">COMPLETAR LA FICHA DE RECOGIDA DE DATOS PARA EL </w:t>
      </w:r>
      <w:r w:rsidR="00B1091E" w:rsidRPr="004A658B">
        <w:rPr>
          <w:rFonts w:ascii="Arial" w:eastAsia="Times New Roman" w:hAnsi="Arial" w:cs="Arial"/>
          <w:b/>
          <w:bCs/>
          <w:sz w:val="26"/>
          <w:szCs w:val="26"/>
          <w:u w:val="single"/>
          <w:lang w:eastAsia="es-ES"/>
        </w:rPr>
        <w:t>INFORME DE ALINEAMIENTO DE LOS PGE CON LA TRANSICIÓN ECOLÓGICA EN SU DIMENSIÓN MARRÓN</w:t>
      </w:r>
    </w:p>
    <w:p w14:paraId="05AAD7D2" w14:textId="77777777" w:rsidR="00545747" w:rsidRDefault="00545747" w:rsidP="00D21C08">
      <w:pPr>
        <w:spacing w:after="0" w:line="240" w:lineRule="auto"/>
        <w:jc w:val="center"/>
        <w:rPr>
          <w:b/>
          <w:bCs/>
          <w:u w:val="single"/>
        </w:rPr>
      </w:pPr>
    </w:p>
    <w:p w14:paraId="58511D22" w14:textId="77777777" w:rsidR="003B2B0A" w:rsidRDefault="003B2B0A" w:rsidP="003B2B0A">
      <w:pPr>
        <w:pStyle w:val="Default"/>
        <w:spacing w:line="360" w:lineRule="auto"/>
        <w:jc w:val="both"/>
        <w:rPr>
          <w:sz w:val="22"/>
          <w:szCs w:val="22"/>
        </w:rPr>
      </w:pPr>
    </w:p>
    <w:p w14:paraId="20FF499B" w14:textId="535C60BE" w:rsidR="00D14D4A" w:rsidRPr="004A658B" w:rsidRDefault="00D14D4A" w:rsidP="00A13085">
      <w:pPr>
        <w:pStyle w:val="Default"/>
        <w:spacing w:before="240" w:after="120" w:line="276" w:lineRule="auto"/>
        <w:jc w:val="both"/>
        <w:rPr>
          <w:rFonts w:ascii="Arial" w:hAnsi="Arial" w:cs="Arial"/>
          <w:color w:val="auto"/>
          <w:sz w:val="22"/>
          <w:szCs w:val="22"/>
        </w:rPr>
      </w:pPr>
      <w:r w:rsidRPr="004A658B">
        <w:rPr>
          <w:rFonts w:ascii="Arial" w:hAnsi="Arial" w:cs="Arial"/>
          <w:color w:val="auto"/>
          <w:sz w:val="22"/>
          <w:szCs w:val="22"/>
        </w:rPr>
        <w:t xml:space="preserve">El objetivo </w:t>
      </w:r>
      <w:r w:rsidR="00040D67" w:rsidRPr="004A658B">
        <w:rPr>
          <w:rFonts w:ascii="Arial" w:hAnsi="Arial" w:cs="Arial"/>
          <w:color w:val="auto"/>
          <w:sz w:val="22"/>
          <w:szCs w:val="22"/>
        </w:rPr>
        <w:t>que se persigue con esta ficha</w:t>
      </w:r>
      <w:r w:rsidRPr="004A658B">
        <w:rPr>
          <w:rFonts w:ascii="Arial" w:hAnsi="Arial" w:cs="Arial"/>
          <w:color w:val="auto"/>
          <w:sz w:val="22"/>
          <w:szCs w:val="22"/>
        </w:rPr>
        <w:t xml:space="preserve"> es la identificación y cuantificación de los gastos perjudiciales para el medioambiente </w:t>
      </w:r>
      <w:r w:rsidR="00040D67" w:rsidRPr="004A658B">
        <w:rPr>
          <w:rFonts w:ascii="Arial" w:hAnsi="Arial" w:cs="Arial"/>
          <w:color w:val="auto"/>
          <w:sz w:val="22"/>
          <w:szCs w:val="22"/>
        </w:rPr>
        <w:t>que puedan estar incluidos</w:t>
      </w:r>
      <w:r w:rsidRPr="004A658B">
        <w:rPr>
          <w:rFonts w:ascii="Arial" w:hAnsi="Arial" w:cs="Arial"/>
          <w:color w:val="auto"/>
          <w:sz w:val="22"/>
          <w:szCs w:val="22"/>
        </w:rPr>
        <w:t xml:space="preserve"> en el proyecto de L</w:t>
      </w:r>
      <w:r w:rsidR="00E9545C" w:rsidRPr="004A658B">
        <w:rPr>
          <w:rFonts w:ascii="Arial" w:hAnsi="Arial" w:cs="Arial"/>
          <w:color w:val="auto"/>
          <w:sz w:val="22"/>
          <w:szCs w:val="22"/>
        </w:rPr>
        <w:t xml:space="preserve">ey de </w:t>
      </w:r>
      <w:r w:rsidR="008268C4">
        <w:rPr>
          <w:rFonts w:ascii="Arial" w:hAnsi="Arial" w:cs="Arial"/>
          <w:color w:val="auto"/>
          <w:sz w:val="22"/>
          <w:szCs w:val="22"/>
        </w:rPr>
        <w:t>PGE 202</w:t>
      </w:r>
      <w:r w:rsidR="00FE53DA">
        <w:rPr>
          <w:rFonts w:ascii="Arial" w:hAnsi="Arial" w:cs="Arial"/>
          <w:color w:val="auto"/>
          <w:sz w:val="22"/>
          <w:szCs w:val="22"/>
        </w:rPr>
        <w:t>7</w:t>
      </w:r>
      <w:r w:rsidRPr="004A658B">
        <w:rPr>
          <w:rFonts w:ascii="Arial" w:hAnsi="Arial" w:cs="Arial"/>
          <w:color w:val="auto"/>
          <w:sz w:val="22"/>
          <w:szCs w:val="22"/>
        </w:rPr>
        <w:t xml:space="preserve">, la denominada “dimensión marrón” del presupuesto. </w:t>
      </w:r>
      <w:r w:rsidR="00A50070" w:rsidRPr="004A658B">
        <w:rPr>
          <w:rFonts w:ascii="Arial" w:hAnsi="Arial" w:cs="Arial"/>
          <w:color w:val="auto"/>
          <w:sz w:val="22"/>
          <w:szCs w:val="22"/>
        </w:rPr>
        <w:t>Los resultados obtenidos</w:t>
      </w:r>
      <w:r w:rsidRPr="004A658B">
        <w:rPr>
          <w:rFonts w:ascii="Arial" w:hAnsi="Arial" w:cs="Arial"/>
          <w:color w:val="auto"/>
          <w:sz w:val="22"/>
          <w:szCs w:val="22"/>
        </w:rPr>
        <w:t xml:space="preserve"> a partir de los datos recopila</w:t>
      </w:r>
      <w:r w:rsidR="008268C4">
        <w:rPr>
          <w:rFonts w:ascii="Arial" w:hAnsi="Arial" w:cs="Arial"/>
          <w:color w:val="auto"/>
          <w:sz w:val="22"/>
          <w:szCs w:val="22"/>
        </w:rPr>
        <w:t>dos se integra</w:t>
      </w:r>
      <w:r w:rsidRPr="004A658B">
        <w:rPr>
          <w:rFonts w:ascii="Arial" w:hAnsi="Arial" w:cs="Arial"/>
          <w:color w:val="auto"/>
          <w:sz w:val="22"/>
          <w:szCs w:val="22"/>
        </w:rPr>
        <w:t>n en el Informe de alineamiento de los presupuestos con la transición ecológica</w:t>
      </w:r>
      <w:r w:rsidR="008765DF" w:rsidRPr="004A658B">
        <w:rPr>
          <w:rFonts w:ascii="Arial" w:hAnsi="Arial" w:cs="Arial"/>
          <w:color w:val="auto"/>
          <w:sz w:val="22"/>
          <w:szCs w:val="22"/>
        </w:rPr>
        <w:t xml:space="preserve">, que acompaña como documentación complementaria al proyecto de </w:t>
      </w:r>
      <w:r w:rsidR="00E9545C" w:rsidRPr="004A658B">
        <w:rPr>
          <w:rFonts w:ascii="Arial" w:hAnsi="Arial" w:cs="Arial"/>
          <w:color w:val="auto"/>
          <w:sz w:val="22"/>
          <w:szCs w:val="22"/>
        </w:rPr>
        <w:t>Ley</w:t>
      </w:r>
      <w:r w:rsidRPr="004A658B">
        <w:rPr>
          <w:rFonts w:ascii="Arial" w:hAnsi="Arial" w:cs="Arial"/>
          <w:color w:val="auto"/>
          <w:sz w:val="22"/>
          <w:szCs w:val="22"/>
        </w:rPr>
        <w:t>.</w:t>
      </w:r>
    </w:p>
    <w:p w14:paraId="16003A84" w14:textId="6A7971C6" w:rsidR="00D14D4A" w:rsidRDefault="00D14D4A" w:rsidP="00A13085">
      <w:pPr>
        <w:pStyle w:val="Default"/>
        <w:spacing w:before="240" w:after="120" w:line="276" w:lineRule="auto"/>
        <w:jc w:val="both"/>
        <w:rPr>
          <w:rFonts w:ascii="Arial" w:hAnsi="Arial" w:cs="Arial"/>
          <w:color w:val="auto"/>
          <w:sz w:val="22"/>
          <w:szCs w:val="22"/>
        </w:rPr>
      </w:pPr>
      <w:r w:rsidRPr="004A658B">
        <w:rPr>
          <w:rFonts w:ascii="Arial" w:hAnsi="Arial" w:cs="Arial"/>
          <w:color w:val="auto"/>
          <w:sz w:val="22"/>
          <w:szCs w:val="22"/>
        </w:rPr>
        <w:t>Se recomienda que la cumplimentación de estas fichas sea realizada por los centros gestores competentes en cada programa presupuestario, quienes deberán enviarlas a su oficina presupuestaria para consolidar los datos de la sección.</w:t>
      </w:r>
    </w:p>
    <w:p w14:paraId="500EADF8" w14:textId="77777777" w:rsidR="003527C0" w:rsidRPr="004A658B" w:rsidRDefault="003527C0" w:rsidP="00A13085">
      <w:pPr>
        <w:pStyle w:val="Default"/>
        <w:spacing w:before="240" w:after="120" w:line="276" w:lineRule="auto"/>
        <w:jc w:val="both"/>
        <w:rPr>
          <w:rFonts w:ascii="Arial" w:hAnsi="Arial" w:cs="Arial"/>
          <w:color w:val="auto"/>
          <w:sz w:val="22"/>
          <w:szCs w:val="22"/>
        </w:rPr>
      </w:pPr>
    </w:p>
    <w:p w14:paraId="789C3DB0" w14:textId="01264072" w:rsidR="004B20D9" w:rsidRPr="004A658B" w:rsidRDefault="004B20D9" w:rsidP="001F5FB8">
      <w:pPr>
        <w:pStyle w:val="Default"/>
        <w:spacing w:before="240" w:line="276" w:lineRule="auto"/>
        <w:jc w:val="both"/>
        <w:rPr>
          <w:rFonts w:ascii="Arial" w:hAnsi="Arial" w:cs="Arial"/>
          <w:b/>
          <w:sz w:val="22"/>
          <w:szCs w:val="22"/>
          <w:u w:val="single"/>
        </w:rPr>
      </w:pPr>
      <w:r w:rsidRPr="004A658B">
        <w:rPr>
          <w:rFonts w:ascii="Arial" w:hAnsi="Arial" w:cs="Arial"/>
          <w:b/>
          <w:sz w:val="22"/>
          <w:szCs w:val="22"/>
          <w:u w:val="single"/>
        </w:rPr>
        <w:t>Ámbito de análisis</w:t>
      </w:r>
      <w:r w:rsidR="008765DF" w:rsidRPr="004A658B">
        <w:rPr>
          <w:rFonts w:ascii="Arial" w:hAnsi="Arial" w:cs="Arial"/>
          <w:b/>
          <w:sz w:val="22"/>
          <w:szCs w:val="22"/>
          <w:u w:val="single"/>
        </w:rPr>
        <w:t xml:space="preserve"> – Exclusiones </w:t>
      </w:r>
    </w:p>
    <w:p w14:paraId="50633257" w14:textId="65C36BEA" w:rsidR="004B20D9" w:rsidRPr="004A658B" w:rsidRDefault="004B20D9" w:rsidP="001F5FB8">
      <w:pPr>
        <w:pStyle w:val="Default"/>
        <w:spacing w:before="240" w:line="276" w:lineRule="auto"/>
        <w:jc w:val="both"/>
        <w:rPr>
          <w:rFonts w:ascii="Arial" w:hAnsi="Arial" w:cs="Arial"/>
          <w:sz w:val="22"/>
          <w:szCs w:val="22"/>
        </w:rPr>
      </w:pPr>
      <w:r w:rsidRPr="004A658B">
        <w:rPr>
          <w:rFonts w:ascii="Arial" w:hAnsi="Arial" w:cs="Arial"/>
          <w:sz w:val="22"/>
          <w:szCs w:val="22"/>
        </w:rPr>
        <w:t>Se debe</w:t>
      </w:r>
      <w:r w:rsidR="007E11FA" w:rsidRPr="004A658B">
        <w:rPr>
          <w:rFonts w:ascii="Arial" w:hAnsi="Arial" w:cs="Arial"/>
          <w:sz w:val="22"/>
          <w:szCs w:val="22"/>
        </w:rPr>
        <w:t>n</w:t>
      </w:r>
      <w:r w:rsidRPr="004A658B">
        <w:rPr>
          <w:rFonts w:ascii="Arial" w:hAnsi="Arial" w:cs="Arial"/>
          <w:sz w:val="22"/>
          <w:szCs w:val="22"/>
        </w:rPr>
        <w:t xml:space="preserve"> analizar </w:t>
      </w:r>
      <w:r w:rsidR="00040D67" w:rsidRPr="004A658B">
        <w:rPr>
          <w:rFonts w:ascii="Arial" w:hAnsi="Arial" w:cs="Arial"/>
          <w:b/>
          <w:sz w:val="22"/>
          <w:szCs w:val="22"/>
        </w:rPr>
        <w:t>todas</w:t>
      </w:r>
      <w:r w:rsidR="00191536" w:rsidRPr="004A658B">
        <w:rPr>
          <w:rFonts w:ascii="Arial" w:hAnsi="Arial" w:cs="Arial"/>
          <w:b/>
          <w:sz w:val="22"/>
          <w:szCs w:val="22"/>
        </w:rPr>
        <w:t xml:space="preserve"> las</w:t>
      </w:r>
      <w:r w:rsidR="00040D67" w:rsidRPr="004A658B">
        <w:rPr>
          <w:rFonts w:ascii="Arial" w:hAnsi="Arial" w:cs="Arial"/>
          <w:sz w:val="22"/>
          <w:szCs w:val="22"/>
        </w:rPr>
        <w:t xml:space="preserve"> </w:t>
      </w:r>
      <w:r w:rsidRPr="004A658B">
        <w:rPr>
          <w:rFonts w:ascii="Arial" w:hAnsi="Arial" w:cs="Arial"/>
          <w:b/>
          <w:sz w:val="22"/>
          <w:szCs w:val="22"/>
        </w:rPr>
        <w:t>partidas presupuestarias</w:t>
      </w:r>
      <w:r w:rsidRPr="004A658B">
        <w:rPr>
          <w:rFonts w:ascii="Arial" w:hAnsi="Arial" w:cs="Arial"/>
          <w:sz w:val="22"/>
          <w:szCs w:val="22"/>
        </w:rPr>
        <w:t xml:space="preserve"> del proyecto de L</w:t>
      </w:r>
      <w:r w:rsidR="009B046C" w:rsidRPr="004A658B">
        <w:rPr>
          <w:rFonts w:ascii="Arial" w:hAnsi="Arial" w:cs="Arial"/>
          <w:sz w:val="22"/>
          <w:szCs w:val="22"/>
        </w:rPr>
        <w:t xml:space="preserve">ey de </w:t>
      </w:r>
      <w:r w:rsidR="008268C4">
        <w:rPr>
          <w:rFonts w:ascii="Arial" w:hAnsi="Arial" w:cs="Arial"/>
          <w:sz w:val="22"/>
          <w:szCs w:val="22"/>
        </w:rPr>
        <w:t>PGE 202</w:t>
      </w:r>
      <w:r w:rsidR="00FE53DA">
        <w:rPr>
          <w:rFonts w:ascii="Arial" w:hAnsi="Arial" w:cs="Arial"/>
          <w:sz w:val="22"/>
          <w:szCs w:val="22"/>
        </w:rPr>
        <w:t>7</w:t>
      </w:r>
      <w:r w:rsidR="00D14D4A" w:rsidRPr="004A658B">
        <w:rPr>
          <w:rFonts w:ascii="Arial" w:hAnsi="Arial" w:cs="Arial"/>
          <w:sz w:val="22"/>
          <w:szCs w:val="22"/>
        </w:rPr>
        <w:t xml:space="preserve"> para las entidades del sector público estatal con presupuesto de gastos de carácter limitativo</w:t>
      </w:r>
      <w:r w:rsidR="007E11FA" w:rsidRPr="004A658B">
        <w:rPr>
          <w:rFonts w:ascii="Arial" w:hAnsi="Arial" w:cs="Arial"/>
          <w:sz w:val="22"/>
          <w:szCs w:val="22"/>
        </w:rPr>
        <w:t xml:space="preserve">, </w:t>
      </w:r>
      <w:r w:rsidR="007E11FA" w:rsidRPr="004A658B">
        <w:rPr>
          <w:rFonts w:ascii="Arial" w:hAnsi="Arial" w:cs="Arial"/>
          <w:b/>
          <w:sz w:val="22"/>
          <w:szCs w:val="22"/>
        </w:rPr>
        <w:t xml:space="preserve">con las </w:t>
      </w:r>
      <w:r w:rsidR="00040D67" w:rsidRPr="004A658B">
        <w:rPr>
          <w:rFonts w:ascii="Arial" w:hAnsi="Arial" w:cs="Arial"/>
          <w:b/>
          <w:sz w:val="22"/>
          <w:szCs w:val="22"/>
        </w:rPr>
        <w:t>siguientes excepciones</w:t>
      </w:r>
      <w:r w:rsidR="00040D67" w:rsidRPr="004A658B">
        <w:rPr>
          <w:rFonts w:ascii="Arial" w:hAnsi="Arial" w:cs="Arial"/>
          <w:sz w:val="22"/>
          <w:szCs w:val="22"/>
        </w:rPr>
        <w:t>:</w:t>
      </w:r>
      <w:r w:rsidR="007E11FA" w:rsidRPr="004A658B">
        <w:rPr>
          <w:rFonts w:ascii="Arial" w:hAnsi="Arial" w:cs="Arial"/>
          <w:sz w:val="22"/>
          <w:szCs w:val="22"/>
        </w:rPr>
        <w:t xml:space="preserve"> </w:t>
      </w:r>
    </w:p>
    <w:p w14:paraId="38DDF76A" w14:textId="2B7460DD" w:rsidR="00040D67" w:rsidRPr="004A658B" w:rsidRDefault="007E11FA" w:rsidP="001F5FB8">
      <w:pPr>
        <w:pStyle w:val="Default"/>
        <w:numPr>
          <w:ilvl w:val="0"/>
          <w:numId w:val="6"/>
        </w:numPr>
        <w:spacing w:before="240" w:line="276" w:lineRule="auto"/>
        <w:jc w:val="both"/>
        <w:rPr>
          <w:rFonts w:ascii="Arial" w:hAnsi="Arial" w:cs="Arial"/>
          <w:b/>
          <w:sz w:val="22"/>
          <w:szCs w:val="22"/>
        </w:rPr>
      </w:pPr>
      <w:r w:rsidRPr="004A658B">
        <w:rPr>
          <w:rFonts w:ascii="Arial" w:hAnsi="Arial" w:cs="Arial"/>
          <w:sz w:val="22"/>
          <w:szCs w:val="22"/>
        </w:rPr>
        <w:t xml:space="preserve">Las partidas presupuestarias de los </w:t>
      </w:r>
      <w:r w:rsidRPr="004A658B">
        <w:rPr>
          <w:rFonts w:ascii="Arial" w:hAnsi="Arial" w:cs="Arial"/>
          <w:b/>
          <w:sz w:val="22"/>
          <w:szCs w:val="22"/>
        </w:rPr>
        <w:t xml:space="preserve">capítulos 1 </w:t>
      </w:r>
      <w:r w:rsidRPr="004A658B">
        <w:rPr>
          <w:rFonts w:ascii="Arial" w:hAnsi="Arial" w:cs="Arial"/>
          <w:sz w:val="22"/>
          <w:szCs w:val="22"/>
        </w:rPr>
        <w:t>(Gastos de personal),</w:t>
      </w:r>
      <w:r w:rsidRPr="004A658B">
        <w:rPr>
          <w:rFonts w:ascii="Arial" w:hAnsi="Arial" w:cs="Arial"/>
          <w:b/>
          <w:sz w:val="22"/>
          <w:szCs w:val="22"/>
        </w:rPr>
        <w:t xml:space="preserve"> 3 </w:t>
      </w:r>
      <w:r w:rsidRPr="004A658B">
        <w:rPr>
          <w:rFonts w:ascii="Arial" w:hAnsi="Arial" w:cs="Arial"/>
          <w:sz w:val="22"/>
          <w:szCs w:val="22"/>
        </w:rPr>
        <w:t>(Gastos financieros),</w:t>
      </w:r>
      <w:r w:rsidRPr="004A658B">
        <w:rPr>
          <w:rFonts w:ascii="Arial" w:hAnsi="Arial" w:cs="Arial"/>
          <w:b/>
          <w:sz w:val="22"/>
          <w:szCs w:val="22"/>
        </w:rPr>
        <w:t xml:space="preserve"> 5 </w:t>
      </w:r>
      <w:r w:rsidRPr="004A658B">
        <w:rPr>
          <w:rFonts w:ascii="Arial" w:hAnsi="Arial" w:cs="Arial"/>
          <w:sz w:val="22"/>
          <w:szCs w:val="22"/>
        </w:rPr>
        <w:t>(Fondo de contingencia y otros imprevistos)</w:t>
      </w:r>
      <w:r w:rsidRPr="004A658B">
        <w:rPr>
          <w:rFonts w:ascii="Arial" w:hAnsi="Arial" w:cs="Arial"/>
          <w:b/>
          <w:sz w:val="22"/>
          <w:szCs w:val="22"/>
        </w:rPr>
        <w:t xml:space="preserve"> y 9 </w:t>
      </w:r>
      <w:r w:rsidRPr="004A658B">
        <w:rPr>
          <w:rFonts w:ascii="Arial" w:hAnsi="Arial" w:cs="Arial"/>
          <w:sz w:val="22"/>
          <w:szCs w:val="22"/>
        </w:rPr>
        <w:t xml:space="preserve">(Pasivos financieros) </w:t>
      </w:r>
      <w:r w:rsidRPr="004A658B">
        <w:rPr>
          <w:rFonts w:ascii="Arial" w:hAnsi="Arial" w:cs="Arial"/>
          <w:b/>
          <w:sz w:val="22"/>
          <w:szCs w:val="22"/>
        </w:rPr>
        <w:t>no se deben analizar</w:t>
      </w:r>
      <w:r w:rsidRPr="004A658B">
        <w:rPr>
          <w:rFonts w:ascii="Arial" w:hAnsi="Arial" w:cs="Arial"/>
          <w:sz w:val="22"/>
          <w:szCs w:val="22"/>
        </w:rPr>
        <w:t>, por no estar incluidas en el ámbito del informe.</w:t>
      </w:r>
    </w:p>
    <w:p w14:paraId="50B88149" w14:textId="77777777" w:rsidR="00040D67" w:rsidRPr="004A658B" w:rsidRDefault="004B20D9" w:rsidP="007E11FA">
      <w:pPr>
        <w:pStyle w:val="Default"/>
        <w:numPr>
          <w:ilvl w:val="0"/>
          <w:numId w:val="6"/>
        </w:numPr>
        <w:spacing w:before="240" w:line="276" w:lineRule="auto"/>
        <w:jc w:val="both"/>
        <w:rPr>
          <w:rFonts w:ascii="Arial" w:hAnsi="Arial" w:cs="Arial"/>
          <w:b/>
          <w:sz w:val="22"/>
          <w:szCs w:val="22"/>
        </w:rPr>
      </w:pPr>
      <w:r w:rsidRPr="004A658B">
        <w:rPr>
          <w:rFonts w:ascii="Arial" w:hAnsi="Arial" w:cs="Arial"/>
          <w:sz w:val="22"/>
          <w:szCs w:val="22"/>
        </w:rPr>
        <w:t xml:space="preserve">Los programas pertenecientes a las </w:t>
      </w:r>
      <w:r w:rsidRPr="004A658B">
        <w:rPr>
          <w:rFonts w:ascii="Arial" w:hAnsi="Arial" w:cs="Arial"/>
          <w:b/>
          <w:sz w:val="22"/>
          <w:szCs w:val="22"/>
        </w:rPr>
        <w:t>políticas presupuestarias 21</w:t>
      </w:r>
      <w:r w:rsidR="007E11FA" w:rsidRPr="004A658B">
        <w:rPr>
          <w:rFonts w:ascii="Arial" w:hAnsi="Arial" w:cs="Arial"/>
          <w:b/>
          <w:sz w:val="22"/>
          <w:szCs w:val="22"/>
        </w:rPr>
        <w:t xml:space="preserve"> </w:t>
      </w:r>
      <w:r w:rsidR="007E11FA" w:rsidRPr="004A658B">
        <w:rPr>
          <w:rFonts w:ascii="Arial" w:hAnsi="Arial" w:cs="Arial"/>
          <w:sz w:val="22"/>
          <w:szCs w:val="22"/>
        </w:rPr>
        <w:t>(Pensiones)</w:t>
      </w:r>
      <w:r w:rsidRPr="004A658B">
        <w:rPr>
          <w:rFonts w:ascii="Arial" w:hAnsi="Arial" w:cs="Arial"/>
          <w:sz w:val="22"/>
          <w:szCs w:val="22"/>
        </w:rPr>
        <w:t>,</w:t>
      </w:r>
      <w:r w:rsidRPr="004A658B">
        <w:rPr>
          <w:rFonts w:ascii="Arial" w:hAnsi="Arial" w:cs="Arial"/>
          <w:b/>
          <w:sz w:val="22"/>
          <w:szCs w:val="22"/>
        </w:rPr>
        <w:t xml:space="preserve"> 22</w:t>
      </w:r>
      <w:r w:rsidR="007E11FA" w:rsidRPr="004A658B">
        <w:rPr>
          <w:rFonts w:ascii="Arial" w:hAnsi="Arial" w:cs="Arial"/>
          <w:b/>
          <w:sz w:val="22"/>
          <w:szCs w:val="22"/>
        </w:rPr>
        <w:t xml:space="preserve"> </w:t>
      </w:r>
      <w:r w:rsidR="007E11FA" w:rsidRPr="004A658B">
        <w:rPr>
          <w:rFonts w:ascii="Arial" w:hAnsi="Arial" w:cs="Arial"/>
          <w:sz w:val="22"/>
          <w:szCs w:val="22"/>
        </w:rPr>
        <w:t>(Otras prestaciones económicas)</w:t>
      </w:r>
      <w:r w:rsidRPr="004A658B">
        <w:rPr>
          <w:rFonts w:ascii="Arial" w:hAnsi="Arial" w:cs="Arial"/>
          <w:sz w:val="22"/>
          <w:szCs w:val="22"/>
        </w:rPr>
        <w:t>,</w:t>
      </w:r>
      <w:r w:rsidRPr="004A658B">
        <w:rPr>
          <w:rFonts w:ascii="Arial" w:hAnsi="Arial" w:cs="Arial"/>
          <w:b/>
          <w:sz w:val="22"/>
          <w:szCs w:val="22"/>
        </w:rPr>
        <w:t xml:space="preserve"> 23</w:t>
      </w:r>
      <w:r w:rsidR="007E11FA" w:rsidRPr="004A658B">
        <w:rPr>
          <w:rFonts w:ascii="Arial" w:hAnsi="Arial" w:cs="Arial"/>
          <w:b/>
          <w:sz w:val="22"/>
          <w:szCs w:val="22"/>
        </w:rPr>
        <w:t xml:space="preserve"> </w:t>
      </w:r>
      <w:r w:rsidR="007E11FA" w:rsidRPr="004A658B">
        <w:rPr>
          <w:rFonts w:ascii="Arial" w:hAnsi="Arial" w:cs="Arial"/>
          <w:sz w:val="22"/>
          <w:szCs w:val="22"/>
        </w:rPr>
        <w:t>(Servicios sociales y de promoción social)</w:t>
      </w:r>
      <w:r w:rsidRPr="004A658B">
        <w:rPr>
          <w:rFonts w:ascii="Arial" w:hAnsi="Arial" w:cs="Arial"/>
          <w:sz w:val="22"/>
          <w:szCs w:val="22"/>
        </w:rPr>
        <w:t>,</w:t>
      </w:r>
      <w:r w:rsidRPr="004A658B">
        <w:rPr>
          <w:rFonts w:ascii="Arial" w:hAnsi="Arial" w:cs="Arial"/>
          <w:b/>
          <w:sz w:val="22"/>
          <w:szCs w:val="22"/>
        </w:rPr>
        <w:t xml:space="preserve"> 24</w:t>
      </w:r>
      <w:r w:rsidR="007E11FA" w:rsidRPr="004A658B">
        <w:rPr>
          <w:rFonts w:ascii="Arial" w:hAnsi="Arial" w:cs="Arial"/>
          <w:b/>
          <w:sz w:val="22"/>
          <w:szCs w:val="22"/>
        </w:rPr>
        <w:t xml:space="preserve"> </w:t>
      </w:r>
      <w:r w:rsidR="007E11FA" w:rsidRPr="004A658B">
        <w:rPr>
          <w:rFonts w:ascii="Arial" w:hAnsi="Arial" w:cs="Arial"/>
          <w:sz w:val="22"/>
          <w:szCs w:val="22"/>
        </w:rPr>
        <w:t>(Fomento del empleo)</w:t>
      </w:r>
      <w:r w:rsidRPr="004A658B">
        <w:rPr>
          <w:rFonts w:ascii="Arial" w:hAnsi="Arial" w:cs="Arial"/>
          <w:sz w:val="22"/>
          <w:szCs w:val="22"/>
        </w:rPr>
        <w:t>,</w:t>
      </w:r>
      <w:r w:rsidRPr="004A658B">
        <w:rPr>
          <w:rFonts w:ascii="Arial" w:hAnsi="Arial" w:cs="Arial"/>
          <w:b/>
          <w:sz w:val="22"/>
          <w:szCs w:val="22"/>
        </w:rPr>
        <w:t xml:space="preserve"> 25</w:t>
      </w:r>
      <w:r w:rsidR="007E11FA" w:rsidRPr="004A658B">
        <w:rPr>
          <w:rFonts w:ascii="Arial" w:hAnsi="Arial" w:cs="Arial"/>
          <w:b/>
          <w:sz w:val="22"/>
          <w:szCs w:val="22"/>
        </w:rPr>
        <w:t xml:space="preserve"> </w:t>
      </w:r>
      <w:r w:rsidR="007E11FA" w:rsidRPr="004A658B">
        <w:rPr>
          <w:rFonts w:ascii="Arial" w:hAnsi="Arial" w:cs="Arial"/>
          <w:sz w:val="22"/>
          <w:szCs w:val="22"/>
        </w:rPr>
        <w:t>(Desempleo)</w:t>
      </w:r>
      <w:r w:rsidRPr="004A658B">
        <w:rPr>
          <w:rFonts w:ascii="Arial" w:hAnsi="Arial" w:cs="Arial"/>
          <w:b/>
          <w:sz w:val="22"/>
          <w:szCs w:val="22"/>
        </w:rPr>
        <w:t xml:space="preserve"> y 94</w:t>
      </w:r>
      <w:r w:rsidRPr="004A658B">
        <w:rPr>
          <w:rFonts w:ascii="Arial" w:hAnsi="Arial" w:cs="Arial"/>
          <w:sz w:val="22"/>
          <w:szCs w:val="22"/>
        </w:rPr>
        <w:t xml:space="preserve"> </w:t>
      </w:r>
      <w:r w:rsidR="007E11FA" w:rsidRPr="004A658B">
        <w:rPr>
          <w:rFonts w:ascii="Arial" w:hAnsi="Arial" w:cs="Arial"/>
          <w:sz w:val="22"/>
          <w:szCs w:val="22"/>
        </w:rPr>
        <w:t xml:space="preserve">(Transferencias a otras administraciones públicas) </w:t>
      </w:r>
      <w:r w:rsidRPr="004A658B">
        <w:rPr>
          <w:rFonts w:ascii="Arial" w:hAnsi="Arial" w:cs="Arial"/>
          <w:b/>
          <w:sz w:val="22"/>
          <w:szCs w:val="22"/>
        </w:rPr>
        <w:t>no se deben analizar</w:t>
      </w:r>
      <w:r w:rsidRPr="004A658B">
        <w:rPr>
          <w:rFonts w:ascii="Arial" w:hAnsi="Arial" w:cs="Arial"/>
          <w:sz w:val="22"/>
          <w:szCs w:val="22"/>
        </w:rPr>
        <w:t>, por no estar incluidos en el ámbito del informe.</w:t>
      </w:r>
      <w:r w:rsidR="007E11FA" w:rsidRPr="004A658B">
        <w:rPr>
          <w:rFonts w:ascii="Arial" w:hAnsi="Arial" w:cs="Arial"/>
          <w:sz w:val="22"/>
          <w:szCs w:val="22"/>
        </w:rPr>
        <w:t xml:space="preserve"> </w:t>
      </w:r>
      <w:r w:rsidR="007E11FA" w:rsidRPr="004A658B">
        <w:rPr>
          <w:rFonts w:ascii="Arial" w:hAnsi="Arial" w:cs="Arial"/>
          <w:b/>
          <w:sz w:val="22"/>
          <w:szCs w:val="22"/>
        </w:rPr>
        <w:t>Tampoco</w:t>
      </w:r>
      <w:r w:rsidR="007E11FA" w:rsidRPr="004A658B">
        <w:rPr>
          <w:rFonts w:ascii="Arial" w:hAnsi="Arial" w:cs="Arial"/>
          <w:sz w:val="22"/>
          <w:szCs w:val="22"/>
        </w:rPr>
        <w:t xml:space="preserve"> se debe analizar el programa </w:t>
      </w:r>
      <w:r w:rsidR="007E11FA" w:rsidRPr="004A658B">
        <w:rPr>
          <w:rFonts w:ascii="Arial" w:hAnsi="Arial" w:cs="Arial"/>
          <w:b/>
          <w:sz w:val="22"/>
          <w:szCs w:val="22"/>
        </w:rPr>
        <w:t>000X</w:t>
      </w:r>
      <w:r w:rsidR="007E11FA" w:rsidRPr="004A658B">
        <w:rPr>
          <w:rFonts w:ascii="Arial" w:hAnsi="Arial" w:cs="Arial"/>
          <w:sz w:val="22"/>
          <w:szCs w:val="22"/>
        </w:rPr>
        <w:t xml:space="preserve"> (Transferencias internas).</w:t>
      </w:r>
    </w:p>
    <w:p w14:paraId="0C046CDD" w14:textId="77777777" w:rsidR="008268C4" w:rsidRDefault="008268C4">
      <w:pPr>
        <w:rPr>
          <w:rFonts w:ascii="Arial" w:hAnsi="Arial" w:cs="Arial"/>
          <w:b/>
          <w:color w:val="000000"/>
          <w:u w:val="single"/>
        </w:rPr>
      </w:pPr>
      <w:r>
        <w:rPr>
          <w:rFonts w:ascii="Arial" w:hAnsi="Arial" w:cs="Arial"/>
          <w:b/>
          <w:u w:val="single"/>
        </w:rPr>
        <w:br w:type="page"/>
      </w:r>
    </w:p>
    <w:p w14:paraId="3848B686" w14:textId="1744E5A1" w:rsidR="001C55BA" w:rsidRPr="003527C0" w:rsidRDefault="009013B0" w:rsidP="003527C0">
      <w:pPr>
        <w:pStyle w:val="Default"/>
        <w:spacing w:before="240" w:line="276" w:lineRule="auto"/>
        <w:jc w:val="both"/>
        <w:rPr>
          <w:rFonts w:ascii="Arial" w:hAnsi="Arial" w:cs="Arial"/>
          <w:b/>
          <w:sz w:val="22"/>
          <w:szCs w:val="22"/>
          <w:u w:val="single"/>
        </w:rPr>
      </w:pPr>
      <w:r w:rsidRPr="004A658B">
        <w:rPr>
          <w:rFonts w:ascii="Arial" w:hAnsi="Arial" w:cs="Arial"/>
          <w:b/>
          <w:sz w:val="22"/>
          <w:szCs w:val="22"/>
          <w:u w:val="single"/>
        </w:rPr>
        <w:lastRenderedPageBreak/>
        <w:t>Instrucciones</w:t>
      </w:r>
    </w:p>
    <w:p w14:paraId="588F0D57" w14:textId="03B5E4AE" w:rsidR="001C55BA" w:rsidRPr="004A658B" w:rsidRDefault="001C55BA" w:rsidP="003527C0">
      <w:pPr>
        <w:spacing w:before="240" w:line="276" w:lineRule="auto"/>
        <w:jc w:val="both"/>
        <w:rPr>
          <w:rFonts w:ascii="Arial" w:hAnsi="Arial" w:cs="Arial"/>
        </w:rPr>
      </w:pPr>
      <w:r w:rsidRPr="004A658B">
        <w:rPr>
          <w:rFonts w:ascii="Arial" w:hAnsi="Arial" w:cs="Arial"/>
          <w:bCs/>
        </w:rPr>
        <w:t xml:space="preserve">En </w:t>
      </w:r>
      <w:r w:rsidRPr="004A658B">
        <w:rPr>
          <w:rFonts w:ascii="Arial" w:hAnsi="Arial" w:cs="Arial"/>
          <w:b/>
          <w:bCs/>
        </w:rPr>
        <w:t>primer lugar</w:t>
      </w:r>
      <w:r w:rsidRPr="004A658B">
        <w:rPr>
          <w:rFonts w:ascii="Arial" w:hAnsi="Arial" w:cs="Arial"/>
        </w:rPr>
        <w:t xml:space="preserve">, señale </w:t>
      </w:r>
      <w:r w:rsidR="0053362A" w:rsidRPr="004A658B">
        <w:rPr>
          <w:rFonts w:ascii="Arial" w:hAnsi="Arial" w:cs="Arial"/>
        </w:rPr>
        <w:t xml:space="preserve">en </w:t>
      </w:r>
      <w:r w:rsidR="00FA0B78" w:rsidRPr="004A658B">
        <w:rPr>
          <w:rFonts w:ascii="Arial" w:hAnsi="Arial" w:cs="Arial"/>
        </w:rPr>
        <w:t>la</w:t>
      </w:r>
      <w:r w:rsidR="0053362A" w:rsidRPr="004A658B">
        <w:rPr>
          <w:rFonts w:ascii="Arial" w:hAnsi="Arial" w:cs="Arial"/>
        </w:rPr>
        <w:t xml:space="preserve"> pestaña </w:t>
      </w:r>
      <w:r w:rsidR="00FA0B78" w:rsidRPr="003527C0">
        <w:rPr>
          <w:rFonts w:ascii="Arial" w:hAnsi="Arial" w:cs="Arial"/>
          <w:b/>
          <w:color w:val="BF8F00" w:themeColor="accent4" w:themeShade="BF"/>
          <w:u w:val="single"/>
        </w:rPr>
        <w:t>“</w:t>
      </w:r>
      <w:r w:rsidR="00B94404" w:rsidRPr="003527C0">
        <w:rPr>
          <w:rFonts w:ascii="Arial" w:hAnsi="Arial" w:cs="Arial"/>
          <w:b/>
          <w:color w:val="BF8F00" w:themeColor="accent4" w:themeShade="BF"/>
          <w:u w:val="single"/>
        </w:rPr>
        <w:t xml:space="preserve">0- </w:t>
      </w:r>
      <w:r w:rsidR="00FA0B78" w:rsidRPr="003527C0">
        <w:rPr>
          <w:rFonts w:ascii="Arial" w:hAnsi="Arial" w:cs="Arial"/>
          <w:b/>
          <w:color w:val="BF8F00" w:themeColor="accent4" w:themeShade="BF"/>
          <w:u w:val="single"/>
        </w:rPr>
        <w:t>Instrucciones”</w:t>
      </w:r>
      <w:r w:rsidR="00FA0B78" w:rsidRPr="004A658B">
        <w:rPr>
          <w:rFonts w:ascii="Arial" w:hAnsi="Arial" w:cs="Arial"/>
          <w:color w:val="FFD966" w:themeColor="accent4" w:themeTint="99"/>
        </w:rPr>
        <w:t xml:space="preserve"> </w:t>
      </w:r>
      <w:r w:rsidRPr="004A658B">
        <w:rPr>
          <w:rFonts w:ascii="Arial" w:hAnsi="Arial" w:cs="Arial"/>
        </w:rPr>
        <w:t>para qué sección está cumplimentando la ficha</w:t>
      </w:r>
      <w:r w:rsidR="0053362A" w:rsidRPr="004A658B">
        <w:rPr>
          <w:rFonts w:ascii="Arial" w:hAnsi="Arial" w:cs="Arial"/>
        </w:rPr>
        <w:t>.</w:t>
      </w:r>
    </w:p>
    <w:p w14:paraId="74E7C7EB" w14:textId="11F4CAC5" w:rsidR="001E2EA4" w:rsidRPr="004A658B" w:rsidRDefault="001C55BA" w:rsidP="00383B6F">
      <w:pPr>
        <w:spacing w:line="276" w:lineRule="auto"/>
        <w:jc w:val="both"/>
        <w:rPr>
          <w:rFonts w:ascii="Arial" w:hAnsi="Arial" w:cs="Arial"/>
        </w:rPr>
      </w:pPr>
      <w:r w:rsidRPr="004A658B">
        <w:rPr>
          <w:rFonts w:ascii="Arial" w:hAnsi="Arial" w:cs="Arial"/>
        </w:rPr>
        <w:t xml:space="preserve">En </w:t>
      </w:r>
      <w:r w:rsidRPr="004A658B">
        <w:rPr>
          <w:rFonts w:ascii="Arial" w:hAnsi="Arial" w:cs="Arial"/>
          <w:b/>
        </w:rPr>
        <w:t>segundo lugar</w:t>
      </w:r>
      <w:r w:rsidRPr="004A658B">
        <w:rPr>
          <w:rFonts w:ascii="Arial" w:hAnsi="Arial" w:cs="Arial"/>
        </w:rPr>
        <w:t xml:space="preserve">, revise la pestaña </w:t>
      </w:r>
      <w:r w:rsidRPr="003527C0">
        <w:rPr>
          <w:rFonts w:ascii="Arial" w:hAnsi="Arial" w:cs="Arial"/>
          <w:color w:val="BF8F00" w:themeColor="accent4" w:themeShade="BF"/>
          <w:u w:val="single"/>
        </w:rPr>
        <w:t>“</w:t>
      </w:r>
      <w:r w:rsidR="00B94404" w:rsidRPr="003527C0">
        <w:rPr>
          <w:rFonts w:ascii="Arial" w:hAnsi="Arial" w:cs="Arial"/>
          <w:b/>
          <w:color w:val="BF8F00" w:themeColor="accent4" w:themeShade="BF"/>
          <w:u w:val="single"/>
        </w:rPr>
        <w:t xml:space="preserve">1- </w:t>
      </w:r>
      <w:r w:rsidR="00DE4FA9" w:rsidRPr="003527C0">
        <w:rPr>
          <w:rFonts w:ascii="Arial" w:hAnsi="Arial" w:cs="Arial"/>
          <w:b/>
          <w:color w:val="BF8F00" w:themeColor="accent4" w:themeShade="BF"/>
          <w:u w:val="single"/>
        </w:rPr>
        <w:t>Gastos</w:t>
      </w:r>
      <w:r w:rsidR="00FA0B78" w:rsidRPr="003527C0">
        <w:rPr>
          <w:rFonts w:ascii="Arial" w:hAnsi="Arial" w:cs="Arial"/>
          <w:b/>
          <w:color w:val="BF8F00" w:themeColor="accent4" w:themeShade="BF"/>
          <w:u w:val="single"/>
        </w:rPr>
        <w:t xml:space="preserve"> </w:t>
      </w:r>
      <w:r w:rsidR="002D5F15" w:rsidRPr="003527C0">
        <w:rPr>
          <w:rFonts w:ascii="Arial" w:hAnsi="Arial" w:cs="Arial"/>
          <w:b/>
          <w:color w:val="BF8F00" w:themeColor="accent4" w:themeShade="BF"/>
          <w:u w:val="single"/>
        </w:rPr>
        <w:t>perjudiciales</w:t>
      </w:r>
      <w:r w:rsidR="00DE4FA9" w:rsidRPr="003527C0">
        <w:rPr>
          <w:rFonts w:ascii="Arial" w:hAnsi="Arial" w:cs="Arial"/>
          <w:color w:val="BF8F00" w:themeColor="accent4" w:themeShade="BF"/>
          <w:u w:val="single"/>
        </w:rPr>
        <w:t>”</w:t>
      </w:r>
      <w:r w:rsidR="00DE4FA9" w:rsidRPr="004A658B">
        <w:rPr>
          <w:rFonts w:ascii="Arial" w:hAnsi="Arial" w:cs="Arial"/>
        </w:rPr>
        <w:t xml:space="preserve">. </w:t>
      </w:r>
      <w:r w:rsidR="00B86BAF" w:rsidRPr="004A658B">
        <w:rPr>
          <w:rFonts w:ascii="Arial" w:hAnsi="Arial" w:cs="Arial"/>
        </w:rPr>
        <w:t>En ella se</w:t>
      </w:r>
      <w:r w:rsidR="00C65990" w:rsidRPr="004A658B">
        <w:rPr>
          <w:rFonts w:ascii="Arial" w:hAnsi="Arial" w:cs="Arial"/>
        </w:rPr>
        <w:t xml:space="preserve"> muestra</w:t>
      </w:r>
      <w:r w:rsidR="00DE4FA9" w:rsidRPr="004A658B">
        <w:rPr>
          <w:rFonts w:ascii="Arial" w:hAnsi="Arial" w:cs="Arial"/>
        </w:rPr>
        <w:t xml:space="preserve"> </w:t>
      </w:r>
      <w:r w:rsidR="00C65990" w:rsidRPr="004A658B">
        <w:rPr>
          <w:rFonts w:ascii="Arial" w:hAnsi="Arial" w:cs="Arial"/>
        </w:rPr>
        <w:t xml:space="preserve">un listado </w:t>
      </w:r>
      <w:r w:rsidR="001E2EA4" w:rsidRPr="004A658B">
        <w:rPr>
          <w:rFonts w:ascii="Arial" w:hAnsi="Arial" w:cs="Arial"/>
        </w:rPr>
        <w:t>de</w:t>
      </w:r>
      <w:r w:rsidR="00C65990" w:rsidRPr="004A658B">
        <w:rPr>
          <w:rFonts w:ascii="Arial" w:hAnsi="Arial" w:cs="Arial"/>
        </w:rPr>
        <w:t xml:space="preserve"> gasto</w:t>
      </w:r>
      <w:r w:rsidR="001E2EA4" w:rsidRPr="004A658B">
        <w:rPr>
          <w:rFonts w:ascii="Arial" w:hAnsi="Arial" w:cs="Arial"/>
        </w:rPr>
        <w:t>s</w:t>
      </w:r>
      <w:r w:rsidR="00C65990" w:rsidRPr="004A658B">
        <w:rPr>
          <w:rFonts w:ascii="Arial" w:hAnsi="Arial" w:cs="Arial"/>
        </w:rPr>
        <w:t xml:space="preserve"> perjudicial</w:t>
      </w:r>
      <w:r w:rsidR="001E2EA4" w:rsidRPr="004A658B">
        <w:rPr>
          <w:rFonts w:ascii="Arial" w:hAnsi="Arial" w:cs="Arial"/>
        </w:rPr>
        <w:t>es</w:t>
      </w:r>
      <w:r w:rsidR="00C65990" w:rsidRPr="004A658B">
        <w:rPr>
          <w:rFonts w:ascii="Arial" w:hAnsi="Arial" w:cs="Arial"/>
        </w:rPr>
        <w:t xml:space="preserve"> que podrían encontrarse en su presupuesto (columna B).</w:t>
      </w:r>
      <w:r w:rsidR="001E2EA4" w:rsidRPr="004A658B">
        <w:rPr>
          <w:rFonts w:ascii="Arial" w:hAnsi="Arial" w:cs="Arial"/>
        </w:rPr>
        <w:t xml:space="preserve"> Aquí se recogen dos tipos de gastos:</w:t>
      </w:r>
    </w:p>
    <w:p w14:paraId="57D38663" w14:textId="3B9DD25A" w:rsidR="00B86BAF" w:rsidRPr="004A658B" w:rsidRDefault="001E2EA4" w:rsidP="00A13085">
      <w:pPr>
        <w:pStyle w:val="Prrafodelista"/>
        <w:numPr>
          <w:ilvl w:val="0"/>
          <w:numId w:val="4"/>
        </w:numPr>
        <w:spacing w:line="276" w:lineRule="auto"/>
        <w:jc w:val="both"/>
        <w:rPr>
          <w:rFonts w:ascii="Arial" w:hAnsi="Arial" w:cs="Arial"/>
        </w:rPr>
      </w:pPr>
      <w:r w:rsidRPr="004A658B">
        <w:rPr>
          <w:rFonts w:ascii="Arial" w:hAnsi="Arial" w:cs="Arial"/>
        </w:rPr>
        <w:t xml:space="preserve">“Gastos comunes”, que se pueden localizar en </w:t>
      </w:r>
      <w:r w:rsidR="006A2170" w:rsidRPr="004A658B">
        <w:rPr>
          <w:rFonts w:ascii="Arial" w:hAnsi="Arial" w:cs="Arial"/>
        </w:rPr>
        <w:t>una generalidad de</w:t>
      </w:r>
      <w:r w:rsidRPr="004A658B">
        <w:rPr>
          <w:rFonts w:ascii="Arial" w:hAnsi="Arial" w:cs="Arial"/>
        </w:rPr>
        <w:t xml:space="preserve"> servicios</w:t>
      </w:r>
      <w:r w:rsidR="00C65990" w:rsidRPr="004A658B">
        <w:rPr>
          <w:rFonts w:ascii="Arial" w:hAnsi="Arial" w:cs="Arial"/>
        </w:rPr>
        <w:t xml:space="preserve"> </w:t>
      </w:r>
      <w:r w:rsidRPr="004A658B">
        <w:rPr>
          <w:rFonts w:ascii="Arial" w:hAnsi="Arial" w:cs="Arial"/>
        </w:rPr>
        <w:t>u organismos. Existen siete tipos.</w:t>
      </w:r>
    </w:p>
    <w:p w14:paraId="43F72FB6" w14:textId="1F9929CB" w:rsidR="001E2EA4" w:rsidRPr="004A658B" w:rsidRDefault="001E2EA4" w:rsidP="00A13085">
      <w:pPr>
        <w:pStyle w:val="Prrafodelista"/>
        <w:numPr>
          <w:ilvl w:val="0"/>
          <w:numId w:val="4"/>
        </w:numPr>
        <w:spacing w:line="276" w:lineRule="auto"/>
        <w:jc w:val="both"/>
        <w:rPr>
          <w:rFonts w:ascii="Arial" w:hAnsi="Arial" w:cs="Arial"/>
        </w:rPr>
      </w:pPr>
      <w:r w:rsidRPr="004A658B">
        <w:rPr>
          <w:rFonts w:ascii="Arial" w:hAnsi="Arial" w:cs="Arial"/>
        </w:rPr>
        <w:t xml:space="preserve">“Gastos específicos”, que </w:t>
      </w:r>
      <w:r w:rsidR="007B53E7" w:rsidRPr="004A658B">
        <w:rPr>
          <w:rFonts w:ascii="Arial" w:hAnsi="Arial" w:cs="Arial"/>
        </w:rPr>
        <w:t>han sido</w:t>
      </w:r>
      <w:r w:rsidRPr="004A658B">
        <w:rPr>
          <w:rFonts w:ascii="Arial" w:hAnsi="Arial" w:cs="Arial"/>
        </w:rPr>
        <w:t xml:space="preserve"> seleccionado</w:t>
      </w:r>
      <w:r w:rsidR="007B53E7" w:rsidRPr="004A658B">
        <w:rPr>
          <w:rFonts w:ascii="Arial" w:hAnsi="Arial" w:cs="Arial"/>
        </w:rPr>
        <w:t>s específicamente</w:t>
      </w:r>
      <w:r w:rsidRPr="004A658B">
        <w:rPr>
          <w:rFonts w:ascii="Arial" w:hAnsi="Arial" w:cs="Arial"/>
        </w:rPr>
        <w:t xml:space="preserve"> </w:t>
      </w:r>
      <w:r w:rsidR="007B53E7" w:rsidRPr="004A658B">
        <w:rPr>
          <w:rFonts w:ascii="Arial" w:hAnsi="Arial" w:cs="Arial"/>
        </w:rPr>
        <w:t xml:space="preserve">en función de su naturaleza </w:t>
      </w:r>
      <w:r w:rsidRPr="004A658B">
        <w:rPr>
          <w:rFonts w:ascii="Arial" w:hAnsi="Arial" w:cs="Arial"/>
        </w:rPr>
        <w:t>para su sección y que</w:t>
      </w:r>
      <w:r w:rsidR="007B53E7" w:rsidRPr="004A658B">
        <w:rPr>
          <w:rFonts w:ascii="Arial" w:hAnsi="Arial" w:cs="Arial"/>
        </w:rPr>
        <w:t>,</w:t>
      </w:r>
      <w:r w:rsidRPr="004A658B">
        <w:rPr>
          <w:rFonts w:ascii="Arial" w:hAnsi="Arial" w:cs="Arial"/>
        </w:rPr>
        <w:t xml:space="preserve"> </w:t>
      </w:r>
      <w:r w:rsidR="007B53E7" w:rsidRPr="004A658B">
        <w:rPr>
          <w:rFonts w:ascii="Arial" w:hAnsi="Arial" w:cs="Arial"/>
        </w:rPr>
        <w:t xml:space="preserve">por tanto, </w:t>
      </w:r>
      <w:r w:rsidRPr="004A658B">
        <w:rPr>
          <w:rFonts w:ascii="Arial" w:hAnsi="Arial" w:cs="Arial"/>
        </w:rPr>
        <w:t xml:space="preserve">podrían estar localizados en </w:t>
      </w:r>
      <w:r w:rsidR="007B53E7" w:rsidRPr="004A658B">
        <w:rPr>
          <w:rFonts w:ascii="Arial" w:hAnsi="Arial" w:cs="Arial"/>
        </w:rPr>
        <w:t>determinados</w:t>
      </w:r>
      <w:r w:rsidRPr="004A658B">
        <w:rPr>
          <w:rFonts w:ascii="Arial" w:hAnsi="Arial" w:cs="Arial"/>
        </w:rPr>
        <w:t xml:space="preserve"> servicios u organismos.</w:t>
      </w:r>
    </w:p>
    <w:p w14:paraId="1CD51BF0" w14:textId="267A91E2" w:rsidR="00C81D60" w:rsidRPr="004A658B" w:rsidRDefault="00C81D60">
      <w:pPr>
        <w:spacing w:line="276" w:lineRule="auto"/>
        <w:jc w:val="both"/>
        <w:rPr>
          <w:rFonts w:ascii="Arial" w:hAnsi="Arial" w:cs="Arial"/>
        </w:rPr>
      </w:pPr>
      <w:r w:rsidRPr="004A658B">
        <w:rPr>
          <w:rFonts w:ascii="Arial" w:hAnsi="Arial" w:cs="Arial"/>
        </w:rPr>
        <w:t xml:space="preserve">Se incluye también una opción “Otros”, por si </w:t>
      </w:r>
      <w:r w:rsidR="00D45CD3" w:rsidRPr="004A658B">
        <w:rPr>
          <w:rFonts w:ascii="Arial" w:hAnsi="Arial" w:cs="Arial"/>
        </w:rPr>
        <w:t>se identificaran</w:t>
      </w:r>
      <w:r w:rsidRPr="004A658B">
        <w:rPr>
          <w:rFonts w:ascii="Arial" w:hAnsi="Arial" w:cs="Arial"/>
        </w:rPr>
        <w:t xml:space="preserve"> gastos perjudiciales </w:t>
      </w:r>
      <w:r w:rsidR="00D45CD3" w:rsidRPr="004A658B">
        <w:rPr>
          <w:rFonts w:ascii="Arial" w:hAnsi="Arial" w:cs="Arial"/>
        </w:rPr>
        <w:t>para el medioambiente</w:t>
      </w:r>
      <w:r w:rsidRPr="004A658B">
        <w:rPr>
          <w:rFonts w:ascii="Arial" w:hAnsi="Arial" w:cs="Arial"/>
        </w:rPr>
        <w:t xml:space="preserve"> que no se hubieran incluido en el listado proporcionado </w:t>
      </w:r>
      <w:r w:rsidR="00D45CD3" w:rsidRPr="004A658B">
        <w:rPr>
          <w:rFonts w:ascii="Arial" w:hAnsi="Arial" w:cs="Arial"/>
        </w:rPr>
        <w:t>par</w:t>
      </w:r>
      <w:r w:rsidRPr="004A658B">
        <w:rPr>
          <w:rFonts w:ascii="Arial" w:hAnsi="Arial" w:cs="Arial"/>
        </w:rPr>
        <w:t>a la sección.</w:t>
      </w:r>
    </w:p>
    <w:p w14:paraId="584947AB" w14:textId="22AEE6EB" w:rsidR="001E2EA4" w:rsidRPr="004A658B" w:rsidRDefault="001E2EA4">
      <w:pPr>
        <w:spacing w:line="276" w:lineRule="auto"/>
        <w:jc w:val="both"/>
        <w:rPr>
          <w:rFonts w:ascii="Arial" w:hAnsi="Arial" w:cs="Arial"/>
        </w:rPr>
      </w:pPr>
      <w:r w:rsidRPr="004A658B">
        <w:rPr>
          <w:rFonts w:ascii="Arial" w:hAnsi="Arial" w:cs="Arial"/>
        </w:rPr>
        <w:t>Para ambos tipos de gasto,</w:t>
      </w:r>
      <w:r w:rsidR="00C81D60" w:rsidRPr="004A658B">
        <w:rPr>
          <w:rFonts w:ascii="Arial" w:hAnsi="Arial" w:cs="Arial"/>
        </w:rPr>
        <w:t xml:space="preserve"> comunes y específicos,</w:t>
      </w:r>
      <w:r w:rsidRPr="004A658B">
        <w:rPr>
          <w:rFonts w:ascii="Arial" w:hAnsi="Arial" w:cs="Arial"/>
        </w:rPr>
        <w:t xml:space="preserve"> las columnas C y D ofrecen</w:t>
      </w:r>
      <w:r w:rsidR="006F1934" w:rsidRPr="004A658B">
        <w:rPr>
          <w:rFonts w:ascii="Arial" w:hAnsi="Arial" w:cs="Arial"/>
        </w:rPr>
        <w:t>,</w:t>
      </w:r>
      <w:r w:rsidRPr="004A658B">
        <w:rPr>
          <w:rFonts w:ascii="Arial" w:hAnsi="Arial" w:cs="Arial"/>
        </w:rPr>
        <w:t xml:space="preserve"> a título orientativo</w:t>
      </w:r>
      <w:r w:rsidR="006F1934" w:rsidRPr="004A658B">
        <w:rPr>
          <w:rFonts w:ascii="Arial" w:hAnsi="Arial" w:cs="Arial"/>
        </w:rPr>
        <w:t>,</w:t>
      </w:r>
      <w:r w:rsidRPr="004A658B">
        <w:rPr>
          <w:rFonts w:ascii="Arial" w:hAnsi="Arial" w:cs="Arial"/>
        </w:rPr>
        <w:t xml:space="preserve"> una explicación de </w:t>
      </w:r>
      <w:r w:rsidR="006F1934" w:rsidRPr="004A658B">
        <w:rPr>
          <w:rFonts w:ascii="Arial" w:hAnsi="Arial" w:cs="Arial"/>
        </w:rPr>
        <w:t>estos gastos</w:t>
      </w:r>
      <w:r w:rsidRPr="004A658B">
        <w:rPr>
          <w:rFonts w:ascii="Arial" w:hAnsi="Arial" w:cs="Arial"/>
        </w:rPr>
        <w:t xml:space="preserve"> y su</w:t>
      </w:r>
      <w:r w:rsidR="0009251B" w:rsidRPr="004A658B">
        <w:rPr>
          <w:rFonts w:ascii="Arial" w:hAnsi="Arial" w:cs="Arial"/>
        </w:rPr>
        <w:t xml:space="preserve"> posible</w:t>
      </w:r>
      <w:r w:rsidRPr="004A658B">
        <w:rPr>
          <w:rFonts w:ascii="Arial" w:hAnsi="Arial" w:cs="Arial"/>
        </w:rPr>
        <w:t xml:space="preserve"> localización</w:t>
      </w:r>
      <w:r w:rsidR="0080263B">
        <w:rPr>
          <w:rFonts w:ascii="Arial" w:hAnsi="Arial" w:cs="Arial"/>
        </w:rPr>
        <w:t>,</w:t>
      </w:r>
      <w:r w:rsidRPr="004A658B">
        <w:rPr>
          <w:rFonts w:ascii="Arial" w:hAnsi="Arial" w:cs="Arial"/>
        </w:rPr>
        <w:t xml:space="preserve"> </w:t>
      </w:r>
      <w:r w:rsidR="006F1934" w:rsidRPr="004A658B">
        <w:rPr>
          <w:rFonts w:ascii="Arial" w:hAnsi="Arial" w:cs="Arial"/>
        </w:rPr>
        <w:t xml:space="preserve">en función de la clasificación económica, </w:t>
      </w:r>
      <w:r w:rsidRPr="004A658B">
        <w:rPr>
          <w:rFonts w:ascii="Arial" w:hAnsi="Arial" w:cs="Arial"/>
        </w:rPr>
        <w:t xml:space="preserve">en </w:t>
      </w:r>
      <w:r w:rsidR="007B53E7" w:rsidRPr="004A658B">
        <w:rPr>
          <w:rFonts w:ascii="Arial" w:hAnsi="Arial" w:cs="Arial"/>
        </w:rPr>
        <w:t>los PGE</w:t>
      </w:r>
      <w:r w:rsidRPr="004A658B">
        <w:rPr>
          <w:rFonts w:ascii="Arial" w:hAnsi="Arial" w:cs="Arial"/>
        </w:rPr>
        <w:t>.</w:t>
      </w:r>
    </w:p>
    <w:p w14:paraId="0F306258" w14:textId="50A02F04" w:rsidR="00F34FE3" w:rsidRPr="004A658B" w:rsidRDefault="00F34FE3" w:rsidP="00C84F74">
      <w:pPr>
        <w:spacing w:line="276" w:lineRule="auto"/>
        <w:jc w:val="both"/>
        <w:rPr>
          <w:rFonts w:ascii="Arial" w:hAnsi="Arial" w:cs="Arial"/>
        </w:rPr>
      </w:pPr>
      <w:r w:rsidRPr="004A658B">
        <w:rPr>
          <w:rFonts w:ascii="Arial" w:hAnsi="Arial" w:cs="Arial"/>
        </w:rPr>
        <w:t xml:space="preserve">En </w:t>
      </w:r>
      <w:r w:rsidRPr="004A658B">
        <w:rPr>
          <w:rFonts w:ascii="Arial" w:hAnsi="Arial" w:cs="Arial"/>
          <w:b/>
        </w:rPr>
        <w:t>tercer lugar,</w:t>
      </w:r>
      <w:r w:rsidRPr="004A658B">
        <w:rPr>
          <w:rFonts w:ascii="Arial" w:hAnsi="Arial" w:cs="Arial"/>
        </w:rPr>
        <w:t xml:space="preserve"> proceda a cumplimentar la pestaña </w:t>
      </w:r>
      <w:r w:rsidRPr="004A658B">
        <w:rPr>
          <w:rFonts w:ascii="Arial" w:hAnsi="Arial" w:cs="Arial"/>
          <w:color w:val="BF8F00" w:themeColor="accent4" w:themeShade="BF"/>
          <w:u w:val="single"/>
        </w:rPr>
        <w:t>“</w:t>
      </w:r>
      <w:r w:rsidR="00B94404" w:rsidRPr="004A658B">
        <w:rPr>
          <w:rFonts w:ascii="Arial" w:hAnsi="Arial" w:cs="Arial"/>
          <w:b/>
          <w:color w:val="BF8F00" w:themeColor="accent4" w:themeShade="BF"/>
          <w:u w:val="single"/>
        </w:rPr>
        <w:t>2-</w:t>
      </w:r>
      <w:r w:rsidR="00B94404" w:rsidRPr="004A658B">
        <w:rPr>
          <w:rFonts w:ascii="Arial" w:hAnsi="Arial" w:cs="Arial"/>
          <w:color w:val="BF8F00" w:themeColor="accent4" w:themeShade="BF"/>
          <w:u w:val="single"/>
        </w:rPr>
        <w:t xml:space="preserve"> </w:t>
      </w:r>
      <w:r w:rsidR="00414E5A" w:rsidRPr="004A658B">
        <w:rPr>
          <w:rFonts w:ascii="Arial" w:hAnsi="Arial" w:cs="Arial"/>
          <w:b/>
          <w:color w:val="BF8F00" w:themeColor="accent4" w:themeShade="BF"/>
          <w:u w:val="single"/>
        </w:rPr>
        <w:t>Ficha</w:t>
      </w:r>
      <w:r w:rsidR="00414E5A" w:rsidRPr="004A658B">
        <w:rPr>
          <w:rFonts w:ascii="Arial" w:hAnsi="Arial" w:cs="Arial"/>
          <w:color w:val="BF8F00" w:themeColor="accent4" w:themeShade="BF"/>
          <w:u w:val="single"/>
        </w:rPr>
        <w:t>”</w:t>
      </w:r>
      <w:r w:rsidR="00C84F74" w:rsidRPr="004A658B">
        <w:rPr>
          <w:rFonts w:ascii="Arial" w:hAnsi="Arial" w:cs="Arial"/>
        </w:rPr>
        <w:t xml:space="preserve">, donde solo se debe escribir en las celdas en blanco. </w:t>
      </w:r>
      <w:r w:rsidR="00587EBD" w:rsidRPr="004A658B">
        <w:rPr>
          <w:rFonts w:ascii="Arial" w:hAnsi="Arial" w:cs="Arial"/>
        </w:rPr>
        <w:t xml:space="preserve">Los </w:t>
      </w:r>
      <w:r w:rsidR="00587EBD" w:rsidRPr="004A658B">
        <w:rPr>
          <w:rFonts w:ascii="Arial" w:hAnsi="Arial" w:cs="Arial"/>
          <w:b/>
        </w:rPr>
        <w:t xml:space="preserve">campos </w:t>
      </w:r>
      <w:r w:rsidR="00270773" w:rsidRPr="004A658B">
        <w:rPr>
          <w:rFonts w:ascii="Arial" w:hAnsi="Arial" w:cs="Arial"/>
          <w:b/>
        </w:rPr>
        <w:t>que han de ser rellenados</w:t>
      </w:r>
      <w:r w:rsidR="00587EBD" w:rsidRPr="004A658B">
        <w:rPr>
          <w:rFonts w:ascii="Arial" w:hAnsi="Arial" w:cs="Arial"/>
        </w:rPr>
        <w:t xml:space="preserve"> son los siguientes:</w:t>
      </w:r>
    </w:p>
    <w:p w14:paraId="3540B92F" w14:textId="464AE34A" w:rsidR="0047061E" w:rsidRPr="004A658B" w:rsidRDefault="000409A2" w:rsidP="00A13085">
      <w:pPr>
        <w:spacing w:line="276" w:lineRule="auto"/>
        <w:ind w:left="708"/>
        <w:jc w:val="both"/>
        <w:rPr>
          <w:rFonts w:ascii="Arial" w:hAnsi="Arial" w:cs="Arial"/>
        </w:rPr>
      </w:pPr>
      <w:r w:rsidRPr="004A658B">
        <w:rPr>
          <w:rFonts w:ascii="Arial" w:hAnsi="Arial" w:cs="Arial"/>
          <w:b/>
        </w:rPr>
        <w:t>Tipo de gasto</w:t>
      </w:r>
      <w:r w:rsidR="002D5F15" w:rsidRPr="004A658B">
        <w:rPr>
          <w:rFonts w:ascii="Arial" w:hAnsi="Arial" w:cs="Arial"/>
          <w:b/>
        </w:rPr>
        <w:t xml:space="preserve"> perjudicial</w:t>
      </w:r>
      <w:r w:rsidRPr="004A658B">
        <w:rPr>
          <w:rFonts w:ascii="Arial" w:hAnsi="Arial" w:cs="Arial"/>
          <w:b/>
        </w:rPr>
        <w:t>:</w:t>
      </w:r>
      <w:r w:rsidRPr="004A658B">
        <w:rPr>
          <w:rFonts w:ascii="Arial" w:hAnsi="Arial" w:cs="Arial"/>
        </w:rPr>
        <w:t xml:space="preserve"> </w:t>
      </w:r>
      <w:r w:rsidR="00F50F4C" w:rsidRPr="004A658B">
        <w:rPr>
          <w:rFonts w:ascii="Arial" w:hAnsi="Arial" w:cs="Arial"/>
        </w:rPr>
        <w:t>E</w:t>
      </w:r>
      <w:r w:rsidRPr="004A658B">
        <w:rPr>
          <w:rFonts w:ascii="Arial" w:hAnsi="Arial" w:cs="Arial"/>
        </w:rPr>
        <w:t xml:space="preserve">ste campo </w:t>
      </w:r>
      <w:r w:rsidR="00F50F4C" w:rsidRPr="004A658B">
        <w:rPr>
          <w:rFonts w:ascii="Arial" w:hAnsi="Arial" w:cs="Arial"/>
        </w:rPr>
        <w:t xml:space="preserve">se rellena </w:t>
      </w:r>
      <w:r w:rsidR="0088567E" w:rsidRPr="004A658B">
        <w:rPr>
          <w:rFonts w:ascii="Arial" w:hAnsi="Arial" w:cs="Arial"/>
        </w:rPr>
        <w:t>a través de</w:t>
      </w:r>
      <w:r w:rsidR="00F50F4C" w:rsidRPr="004A658B">
        <w:rPr>
          <w:rFonts w:ascii="Arial" w:hAnsi="Arial" w:cs="Arial"/>
        </w:rPr>
        <w:t xml:space="preserve"> un</w:t>
      </w:r>
      <w:r w:rsidR="0088567E" w:rsidRPr="004A658B">
        <w:rPr>
          <w:rFonts w:ascii="Arial" w:hAnsi="Arial" w:cs="Arial"/>
        </w:rPr>
        <w:t xml:space="preserve"> desplegable</w:t>
      </w:r>
      <w:r w:rsidR="00D11697" w:rsidRPr="004A658B">
        <w:rPr>
          <w:rFonts w:ascii="Arial" w:hAnsi="Arial" w:cs="Arial"/>
        </w:rPr>
        <w:t xml:space="preserve">. </w:t>
      </w:r>
    </w:p>
    <w:p w14:paraId="5926B2B5" w14:textId="3559C532" w:rsidR="008A06C8" w:rsidRPr="004A658B" w:rsidRDefault="008A06C8" w:rsidP="00A13085">
      <w:pPr>
        <w:spacing w:line="276" w:lineRule="auto"/>
        <w:ind w:left="708"/>
        <w:jc w:val="both"/>
        <w:rPr>
          <w:rFonts w:ascii="Arial" w:hAnsi="Arial" w:cs="Arial"/>
        </w:rPr>
      </w:pPr>
      <w:r w:rsidRPr="004A658B">
        <w:rPr>
          <w:rFonts w:ascii="Arial" w:hAnsi="Arial" w:cs="Arial"/>
          <w:b/>
        </w:rPr>
        <w:t xml:space="preserve">Partida presupuestaria financiadora del gasto: </w:t>
      </w:r>
      <w:r w:rsidR="002D5F15" w:rsidRPr="004A658B">
        <w:rPr>
          <w:rFonts w:ascii="Arial" w:hAnsi="Arial" w:cs="Arial"/>
        </w:rPr>
        <w:t>Se registrarán en esta columna las partidas presupuestarias</w:t>
      </w:r>
      <w:r w:rsidR="0088567E" w:rsidRPr="004A658B">
        <w:rPr>
          <w:rFonts w:ascii="Arial" w:hAnsi="Arial" w:cs="Arial"/>
        </w:rPr>
        <w:t xml:space="preserve"> financiadoras de gastos perjudiciales. Se </w:t>
      </w:r>
      <w:r w:rsidR="000409A2" w:rsidRPr="004A658B">
        <w:rPr>
          <w:rFonts w:ascii="Arial" w:hAnsi="Arial" w:cs="Arial"/>
        </w:rPr>
        <w:t>cumplimentará</w:t>
      </w:r>
      <w:r w:rsidRPr="004A658B">
        <w:rPr>
          <w:rFonts w:ascii="Arial" w:hAnsi="Arial" w:cs="Arial"/>
        </w:rPr>
        <w:t xml:space="preserve"> con el máximo nivel de desagregación, siempre que sea posible.</w:t>
      </w:r>
      <w:r w:rsidR="00CF187D" w:rsidRPr="004A658B">
        <w:rPr>
          <w:rFonts w:ascii="Arial" w:hAnsi="Arial" w:cs="Arial"/>
        </w:rPr>
        <w:t xml:space="preserve"> </w:t>
      </w:r>
    </w:p>
    <w:p w14:paraId="3A655350" w14:textId="77777777" w:rsidR="006822AF" w:rsidRDefault="00657651" w:rsidP="006822AF">
      <w:pPr>
        <w:pStyle w:val="Prrafodelista"/>
        <w:numPr>
          <w:ilvl w:val="0"/>
          <w:numId w:val="2"/>
        </w:numPr>
        <w:spacing w:after="120" w:line="276" w:lineRule="auto"/>
        <w:ind w:left="1276" w:firstLine="0"/>
        <w:contextualSpacing w:val="0"/>
        <w:jc w:val="both"/>
        <w:rPr>
          <w:rFonts w:ascii="Arial" w:hAnsi="Arial" w:cs="Arial"/>
        </w:rPr>
      </w:pPr>
      <w:r w:rsidRPr="004A658B">
        <w:rPr>
          <w:rFonts w:ascii="Arial" w:hAnsi="Arial" w:cs="Arial"/>
        </w:rPr>
        <w:t xml:space="preserve">Un </w:t>
      </w:r>
      <w:r w:rsidR="00B86BAF" w:rsidRPr="004A658B">
        <w:rPr>
          <w:rFonts w:ascii="Arial" w:hAnsi="Arial" w:cs="Arial"/>
        </w:rPr>
        <w:t xml:space="preserve">mismo tipo de </w:t>
      </w:r>
      <w:r w:rsidRPr="004A658B">
        <w:rPr>
          <w:rFonts w:ascii="Arial" w:hAnsi="Arial" w:cs="Arial"/>
        </w:rPr>
        <w:t xml:space="preserve">gasto perjudicial para el medio ambiente puede estar financiado por varias partidas presupuestarias, </w:t>
      </w:r>
      <w:r w:rsidR="0047061E" w:rsidRPr="004A658B">
        <w:rPr>
          <w:rFonts w:ascii="Arial" w:hAnsi="Arial" w:cs="Arial"/>
        </w:rPr>
        <w:t xml:space="preserve">por lo </w:t>
      </w:r>
      <w:r w:rsidR="0088567E" w:rsidRPr="004A658B">
        <w:rPr>
          <w:rFonts w:ascii="Arial" w:hAnsi="Arial" w:cs="Arial"/>
        </w:rPr>
        <w:t xml:space="preserve">que en su caso tendrían </w:t>
      </w:r>
      <w:r w:rsidR="0047061E" w:rsidRPr="004A658B">
        <w:rPr>
          <w:rFonts w:ascii="Arial" w:hAnsi="Arial" w:cs="Arial"/>
        </w:rPr>
        <w:t xml:space="preserve">que </w:t>
      </w:r>
      <w:r w:rsidR="00C21B42" w:rsidRPr="004A658B">
        <w:rPr>
          <w:rFonts w:ascii="Arial" w:hAnsi="Arial" w:cs="Arial"/>
        </w:rPr>
        <w:t>especificarse cada una de ellas</w:t>
      </w:r>
      <w:r w:rsidRPr="004A658B">
        <w:rPr>
          <w:rFonts w:ascii="Arial" w:hAnsi="Arial" w:cs="Arial"/>
        </w:rPr>
        <w:t>.</w:t>
      </w:r>
    </w:p>
    <w:p w14:paraId="768737D7" w14:textId="25C56C31" w:rsidR="006822AF" w:rsidRPr="006822AF" w:rsidRDefault="006822AF" w:rsidP="006822AF">
      <w:pPr>
        <w:pStyle w:val="Prrafodelista"/>
        <w:numPr>
          <w:ilvl w:val="0"/>
          <w:numId w:val="2"/>
        </w:numPr>
        <w:spacing w:line="276" w:lineRule="auto"/>
        <w:ind w:left="1275" w:firstLine="0"/>
        <w:jc w:val="both"/>
        <w:rPr>
          <w:rFonts w:ascii="Arial" w:hAnsi="Arial" w:cs="Arial"/>
        </w:rPr>
      </w:pPr>
      <w:r w:rsidRPr="006822AF">
        <w:rPr>
          <w:rFonts w:ascii="Arial" w:hAnsi="Arial" w:cs="Arial"/>
        </w:rPr>
        <w:t xml:space="preserve">Una misma partida presupuestaria no podrá repetirse para </w:t>
      </w:r>
      <w:r>
        <w:rPr>
          <w:rFonts w:ascii="Arial" w:hAnsi="Arial" w:cs="Arial"/>
        </w:rPr>
        <w:t>el mismo tipo de gasto perjudicial</w:t>
      </w:r>
      <w:r w:rsidRPr="006822AF">
        <w:rPr>
          <w:rFonts w:ascii="Arial" w:hAnsi="Arial" w:cs="Arial"/>
        </w:rPr>
        <w:t xml:space="preserve">. En el caso de que se deseen especificar las diferentes actuaciones </w:t>
      </w:r>
      <w:r w:rsidR="00FB503A">
        <w:rPr>
          <w:rFonts w:ascii="Arial" w:hAnsi="Arial" w:cs="Arial"/>
        </w:rPr>
        <w:t>incluidas en</w:t>
      </w:r>
      <w:r w:rsidRPr="006822AF">
        <w:rPr>
          <w:rFonts w:ascii="Arial" w:hAnsi="Arial" w:cs="Arial"/>
        </w:rPr>
        <w:t xml:space="preserve"> la misma, deberá detallarse en el campo </w:t>
      </w:r>
      <w:r w:rsidR="00FB503A">
        <w:rPr>
          <w:rFonts w:ascii="Arial" w:hAnsi="Arial" w:cs="Arial"/>
        </w:rPr>
        <w:t>“Observaciones”</w:t>
      </w:r>
      <w:r w:rsidRPr="006822AF">
        <w:rPr>
          <w:rFonts w:ascii="Arial" w:hAnsi="Arial" w:cs="Arial"/>
        </w:rPr>
        <w:t>.</w:t>
      </w:r>
    </w:p>
    <w:p w14:paraId="4E399067" w14:textId="1E096A1B" w:rsidR="003800F4" w:rsidRPr="004A658B" w:rsidRDefault="006B66E3" w:rsidP="00A13085">
      <w:pPr>
        <w:spacing w:line="276" w:lineRule="auto"/>
        <w:ind w:left="708"/>
        <w:jc w:val="both"/>
        <w:rPr>
          <w:rFonts w:ascii="Arial" w:hAnsi="Arial" w:cs="Arial"/>
        </w:rPr>
      </w:pPr>
      <w:r w:rsidRPr="004A658B">
        <w:rPr>
          <w:rFonts w:ascii="Arial" w:hAnsi="Arial" w:cs="Arial"/>
          <w:b/>
          <w:bCs/>
        </w:rPr>
        <w:t>Denominación de la partida presupuestaria</w:t>
      </w:r>
      <w:r w:rsidR="003800F4" w:rsidRPr="004A658B">
        <w:rPr>
          <w:rFonts w:ascii="Arial" w:hAnsi="Arial" w:cs="Arial"/>
          <w:b/>
          <w:bCs/>
        </w:rPr>
        <w:t>:</w:t>
      </w:r>
      <w:r w:rsidR="000409A2" w:rsidRPr="004A658B">
        <w:rPr>
          <w:rFonts w:ascii="Arial" w:hAnsi="Arial" w:cs="Arial"/>
        </w:rPr>
        <w:t xml:space="preserve"> </w:t>
      </w:r>
      <w:r w:rsidR="0088567E" w:rsidRPr="004A658B">
        <w:rPr>
          <w:rFonts w:ascii="Arial" w:hAnsi="Arial" w:cs="Arial"/>
        </w:rPr>
        <w:t xml:space="preserve">en </w:t>
      </w:r>
      <w:r w:rsidR="00F61940" w:rsidRPr="004A658B">
        <w:rPr>
          <w:rFonts w:ascii="Arial" w:hAnsi="Arial" w:cs="Arial"/>
        </w:rPr>
        <w:t xml:space="preserve">este campo </w:t>
      </w:r>
      <w:r w:rsidR="0088567E" w:rsidRPr="004A658B">
        <w:rPr>
          <w:rFonts w:ascii="Arial" w:hAnsi="Arial" w:cs="Arial"/>
        </w:rPr>
        <w:t xml:space="preserve">habrá de incluirse </w:t>
      </w:r>
      <w:r w:rsidR="00650C7A" w:rsidRPr="004A658B">
        <w:rPr>
          <w:rFonts w:ascii="Arial" w:hAnsi="Arial" w:cs="Arial"/>
        </w:rPr>
        <w:t xml:space="preserve">el </w:t>
      </w:r>
      <w:r w:rsidR="006A2170" w:rsidRPr="004A658B">
        <w:rPr>
          <w:rFonts w:ascii="Arial" w:hAnsi="Arial" w:cs="Arial"/>
        </w:rPr>
        <w:t xml:space="preserve">literal de la partida </w:t>
      </w:r>
      <w:r w:rsidR="002D5F15" w:rsidRPr="004A658B">
        <w:rPr>
          <w:rFonts w:ascii="Arial" w:hAnsi="Arial" w:cs="Arial"/>
        </w:rPr>
        <w:t>prevista en el</w:t>
      </w:r>
      <w:r w:rsidR="00533417" w:rsidRPr="004A658B">
        <w:rPr>
          <w:rFonts w:ascii="Arial" w:hAnsi="Arial" w:cs="Arial"/>
        </w:rPr>
        <w:t xml:space="preserve"> </w:t>
      </w:r>
      <w:r w:rsidR="00C84F74" w:rsidRPr="004A658B">
        <w:rPr>
          <w:rFonts w:ascii="Arial" w:hAnsi="Arial" w:cs="Arial"/>
        </w:rPr>
        <w:t xml:space="preserve">proyecto de </w:t>
      </w:r>
      <w:r w:rsidR="00533417" w:rsidRPr="004A658B">
        <w:rPr>
          <w:rFonts w:ascii="Arial" w:hAnsi="Arial" w:cs="Arial"/>
        </w:rPr>
        <w:t>L</w:t>
      </w:r>
      <w:r w:rsidR="00C84F74" w:rsidRPr="004A658B">
        <w:rPr>
          <w:rFonts w:ascii="Arial" w:hAnsi="Arial" w:cs="Arial"/>
        </w:rPr>
        <w:t xml:space="preserve">ey de </w:t>
      </w:r>
      <w:r w:rsidR="008268C4">
        <w:rPr>
          <w:rFonts w:ascii="Arial" w:hAnsi="Arial" w:cs="Arial"/>
        </w:rPr>
        <w:t>PGE 202</w:t>
      </w:r>
      <w:r w:rsidR="00FE53DA">
        <w:rPr>
          <w:rFonts w:ascii="Arial" w:hAnsi="Arial" w:cs="Arial"/>
        </w:rPr>
        <w:t>7</w:t>
      </w:r>
      <w:r w:rsidR="00650C7A" w:rsidRPr="004A658B">
        <w:rPr>
          <w:rFonts w:ascii="Arial" w:hAnsi="Arial" w:cs="Arial"/>
        </w:rPr>
        <w:t>.</w:t>
      </w:r>
    </w:p>
    <w:p w14:paraId="74C48A4A" w14:textId="59F3B88C" w:rsidR="00C65990" w:rsidRPr="004A658B" w:rsidRDefault="00650C7A" w:rsidP="00A13085">
      <w:pPr>
        <w:spacing w:line="276" w:lineRule="auto"/>
        <w:ind w:left="708"/>
        <w:jc w:val="both"/>
        <w:rPr>
          <w:rFonts w:ascii="Arial" w:hAnsi="Arial" w:cs="Arial"/>
          <w:bCs/>
        </w:rPr>
      </w:pPr>
      <w:r w:rsidRPr="004A658B">
        <w:rPr>
          <w:rFonts w:ascii="Arial" w:hAnsi="Arial" w:cs="Arial"/>
          <w:b/>
          <w:bCs/>
        </w:rPr>
        <w:t xml:space="preserve">Proyecto de inversión: </w:t>
      </w:r>
      <w:r w:rsidR="000409A2" w:rsidRPr="004A658B">
        <w:rPr>
          <w:rFonts w:ascii="Arial" w:hAnsi="Arial" w:cs="Arial"/>
          <w:bCs/>
        </w:rPr>
        <w:t>s</w:t>
      </w:r>
      <w:r w:rsidRPr="004A658B">
        <w:rPr>
          <w:rFonts w:ascii="Arial" w:hAnsi="Arial" w:cs="Arial"/>
          <w:bCs/>
        </w:rPr>
        <w:t xml:space="preserve">e cumplimentará esta columna </w:t>
      </w:r>
      <w:r w:rsidR="00C65990" w:rsidRPr="004A658B">
        <w:rPr>
          <w:rFonts w:ascii="Arial" w:hAnsi="Arial" w:cs="Arial"/>
          <w:b/>
          <w:bCs/>
        </w:rPr>
        <w:t>únicamente</w:t>
      </w:r>
      <w:r w:rsidR="00C65990" w:rsidRPr="004A658B">
        <w:rPr>
          <w:rFonts w:ascii="Arial" w:hAnsi="Arial" w:cs="Arial"/>
          <w:bCs/>
        </w:rPr>
        <w:t xml:space="preserve"> </w:t>
      </w:r>
      <w:r w:rsidRPr="004A658B">
        <w:rPr>
          <w:rFonts w:ascii="Arial" w:hAnsi="Arial" w:cs="Arial"/>
          <w:bCs/>
        </w:rPr>
        <w:t>en el supuesto de que la partida afecte a</w:t>
      </w:r>
      <w:r w:rsidR="009504E1" w:rsidRPr="004A658B">
        <w:rPr>
          <w:rFonts w:ascii="Arial" w:hAnsi="Arial" w:cs="Arial"/>
          <w:bCs/>
        </w:rPr>
        <w:t xml:space="preserve">l </w:t>
      </w:r>
      <w:r w:rsidR="009504E1" w:rsidRPr="004A658B">
        <w:rPr>
          <w:rFonts w:ascii="Arial" w:hAnsi="Arial" w:cs="Arial"/>
          <w:b/>
          <w:bCs/>
        </w:rPr>
        <w:t>Capítulo 6</w:t>
      </w:r>
      <w:r w:rsidR="009504E1" w:rsidRPr="004A658B">
        <w:rPr>
          <w:rFonts w:ascii="Arial" w:hAnsi="Arial" w:cs="Arial"/>
          <w:bCs/>
        </w:rPr>
        <w:t xml:space="preserve">. </w:t>
      </w:r>
    </w:p>
    <w:p w14:paraId="729241D0" w14:textId="016DCADB" w:rsidR="00F307E7" w:rsidRPr="004A658B" w:rsidRDefault="00F307E7" w:rsidP="00E82211">
      <w:pPr>
        <w:pStyle w:val="Prrafodelista"/>
        <w:numPr>
          <w:ilvl w:val="0"/>
          <w:numId w:val="5"/>
        </w:numPr>
        <w:spacing w:before="120" w:after="120" w:line="276" w:lineRule="auto"/>
        <w:ind w:left="1417" w:hanging="357"/>
        <w:contextualSpacing w:val="0"/>
        <w:jc w:val="both"/>
        <w:rPr>
          <w:rFonts w:ascii="Arial" w:hAnsi="Arial" w:cs="Arial"/>
        </w:rPr>
      </w:pPr>
      <w:r w:rsidRPr="004A658B">
        <w:rPr>
          <w:rFonts w:ascii="Arial" w:hAnsi="Arial" w:cs="Arial"/>
        </w:rPr>
        <w:t xml:space="preserve">Cada proyecto de inversión de capítulo 6 se valorará individualmente en función de su objetivo principal: </w:t>
      </w:r>
    </w:p>
    <w:p w14:paraId="6FF3CFBB" w14:textId="204A7072" w:rsidR="00F307E7" w:rsidRPr="004A658B" w:rsidRDefault="00F307E7" w:rsidP="00E82211">
      <w:pPr>
        <w:pStyle w:val="Prrafodelista"/>
        <w:numPr>
          <w:ilvl w:val="1"/>
          <w:numId w:val="5"/>
        </w:numPr>
        <w:spacing w:before="120" w:after="120" w:line="276" w:lineRule="auto"/>
        <w:ind w:left="1786" w:hanging="357"/>
        <w:contextualSpacing w:val="0"/>
        <w:jc w:val="both"/>
        <w:rPr>
          <w:rFonts w:ascii="Arial" w:hAnsi="Arial" w:cs="Arial"/>
        </w:rPr>
      </w:pPr>
      <w:r w:rsidRPr="004A658B">
        <w:rPr>
          <w:rFonts w:ascii="Arial" w:hAnsi="Arial" w:cs="Arial"/>
        </w:rPr>
        <w:t xml:space="preserve">Si este coincide con alguna de las actividades consideradas como perjudiciales para el medioambiente, el importe del proyecto </w:t>
      </w:r>
      <w:r w:rsidRPr="004A658B">
        <w:rPr>
          <w:rFonts w:ascii="Arial" w:hAnsi="Arial" w:cs="Arial"/>
        </w:rPr>
        <w:lastRenderedPageBreak/>
        <w:t xml:space="preserve">computará íntegramente como perjudicial, </w:t>
      </w:r>
      <w:r w:rsidRPr="0080263B">
        <w:rPr>
          <w:rFonts w:ascii="Arial" w:hAnsi="Arial" w:cs="Arial"/>
          <w:b/>
        </w:rPr>
        <w:t>registrándose el porcentaje que representa sobre la partida</w:t>
      </w:r>
      <w:r w:rsidRPr="004A658B">
        <w:rPr>
          <w:rFonts w:ascii="Arial" w:hAnsi="Arial" w:cs="Arial"/>
        </w:rPr>
        <w:t xml:space="preserve"> presupuestaria. </w:t>
      </w:r>
    </w:p>
    <w:p w14:paraId="35059D63" w14:textId="2DEDAEAB" w:rsidR="00F307E7" w:rsidRPr="004A658B" w:rsidRDefault="00F307E7" w:rsidP="00E82211">
      <w:pPr>
        <w:pStyle w:val="Prrafodelista"/>
        <w:numPr>
          <w:ilvl w:val="1"/>
          <w:numId w:val="5"/>
        </w:numPr>
        <w:spacing w:before="120" w:after="120" w:line="276" w:lineRule="auto"/>
        <w:ind w:hanging="357"/>
        <w:contextualSpacing w:val="0"/>
        <w:jc w:val="both"/>
        <w:rPr>
          <w:rFonts w:ascii="Arial" w:hAnsi="Arial" w:cs="Arial"/>
        </w:rPr>
      </w:pPr>
      <w:r w:rsidRPr="004A658B">
        <w:rPr>
          <w:rFonts w:ascii="Arial" w:hAnsi="Arial" w:cs="Arial"/>
        </w:rPr>
        <w:t>Si, pese a no constituir el objetivo principal d</w:t>
      </w:r>
      <w:r w:rsidR="0080263B">
        <w:rPr>
          <w:rFonts w:ascii="Arial" w:hAnsi="Arial" w:cs="Arial"/>
        </w:rPr>
        <w:t>el proyecto, sí se desarrollará</w:t>
      </w:r>
      <w:r w:rsidRPr="004A658B">
        <w:rPr>
          <w:rFonts w:ascii="Arial" w:hAnsi="Arial" w:cs="Arial"/>
        </w:rPr>
        <w:t xml:space="preserve">n actividades perjudiciales de manera significativa en su ejecución, </w:t>
      </w:r>
      <w:r w:rsidRPr="0080263B">
        <w:rPr>
          <w:rFonts w:ascii="Arial" w:hAnsi="Arial" w:cs="Arial"/>
          <w:b/>
        </w:rPr>
        <w:t xml:space="preserve">se estimará </w:t>
      </w:r>
      <w:r w:rsidR="008268C4" w:rsidRPr="0080263B">
        <w:rPr>
          <w:rFonts w:ascii="Arial" w:hAnsi="Arial" w:cs="Arial"/>
          <w:b/>
        </w:rPr>
        <w:t>el</w:t>
      </w:r>
      <w:r w:rsidRPr="0080263B">
        <w:rPr>
          <w:rFonts w:ascii="Arial" w:hAnsi="Arial" w:cs="Arial"/>
          <w:b/>
        </w:rPr>
        <w:t xml:space="preserve"> porcentaje</w:t>
      </w:r>
      <w:r w:rsidRPr="004A658B">
        <w:rPr>
          <w:rFonts w:ascii="Arial" w:hAnsi="Arial" w:cs="Arial"/>
        </w:rPr>
        <w:t xml:space="preserve"> equivalente sobre la partida.</w:t>
      </w:r>
    </w:p>
    <w:p w14:paraId="1EC38864" w14:textId="1493A80C" w:rsidR="0086082C" w:rsidRPr="004A658B" w:rsidRDefault="002314D8" w:rsidP="00E82211">
      <w:pPr>
        <w:pStyle w:val="Prrafodelista"/>
        <w:numPr>
          <w:ilvl w:val="0"/>
          <w:numId w:val="2"/>
        </w:numPr>
        <w:spacing w:after="120" w:line="276" w:lineRule="auto"/>
        <w:ind w:left="1428" w:hanging="357"/>
        <w:contextualSpacing w:val="0"/>
        <w:jc w:val="both"/>
        <w:rPr>
          <w:rFonts w:ascii="Arial" w:hAnsi="Arial" w:cs="Arial"/>
          <w:bCs/>
        </w:rPr>
      </w:pPr>
      <w:r w:rsidRPr="004A658B">
        <w:rPr>
          <w:rFonts w:ascii="Arial" w:hAnsi="Arial" w:cs="Arial"/>
          <w:bCs/>
        </w:rPr>
        <w:t>Se incluirá la denominación de cada proyecto, no la codificación.</w:t>
      </w:r>
    </w:p>
    <w:p w14:paraId="214A5191" w14:textId="77777777" w:rsidR="00C0156A" w:rsidRPr="0080263B" w:rsidRDefault="009504E1" w:rsidP="00C0156A">
      <w:pPr>
        <w:pStyle w:val="Prrafodelista"/>
        <w:numPr>
          <w:ilvl w:val="0"/>
          <w:numId w:val="2"/>
        </w:numPr>
        <w:spacing w:after="120" w:line="276" w:lineRule="auto"/>
        <w:ind w:left="1428" w:hanging="357"/>
        <w:contextualSpacing w:val="0"/>
        <w:jc w:val="both"/>
        <w:rPr>
          <w:rFonts w:ascii="Arial" w:hAnsi="Arial" w:cs="Arial"/>
          <w:bCs/>
        </w:rPr>
      </w:pPr>
      <w:r w:rsidRPr="004A658B">
        <w:rPr>
          <w:rFonts w:ascii="Arial" w:hAnsi="Arial" w:cs="Arial"/>
          <w:bCs/>
        </w:rPr>
        <w:t>Si</w:t>
      </w:r>
      <w:r w:rsidR="00650C7A" w:rsidRPr="004A658B">
        <w:rPr>
          <w:rFonts w:ascii="Arial" w:hAnsi="Arial" w:cs="Arial"/>
          <w:bCs/>
        </w:rPr>
        <w:t xml:space="preserve"> hay varios proyectos de inversión asociados a una misma part</w:t>
      </w:r>
      <w:r w:rsidRPr="004A658B">
        <w:rPr>
          <w:rFonts w:ascii="Arial" w:hAnsi="Arial" w:cs="Arial"/>
          <w:bCs/>
        </w:rPr>
        <w:t>ida presupuestaria, debe</w:t>
      </w:r>
      <w:r w:rsidR="004554CE" w:rsidRPr="004A658B">
        <w:rPr>
          <w:rFonts w:ascii="Arial" w:hAnsi="Arial" w:cs="Arial"/>
          <w:bCs/>
        </w:rPr>
        <w:t>rá</w:t>
      </w:r>
      <w:r w:rsidRPr="004A658B">
        <w:rPr>
          <w:rFonts w:ascii="Arial" w:hAnsi="Arial" w:cs="Arial"/>
          <w:bCs/>
        </w:rPr>
        <w:t xml:space="preserve"> incluir</w:t>
      </w:r>
      <w:r w:rsidR="004554CE" w:rsidRPr="004A658B">
        <w:rPr>
          <w:rFonts w:ascii="Arial" w:hAnsi="Arial" w:cs="Arial"/>
          <w:bCs/>
        </w:rPr>
        <w:t>se</w:t>
      </w:r>
      <w:r w:rsidRPr="004A658B">
        <w:rPr>
          <w:rFonts w:ascii="Arial" w:hAnsi="Arial" w:cs="Arial"/>
          <w:bCs/>
        </w:rPr>
        <w:t xml:space="preserve"> </w:t>
      </w:r>
      <w:r w:rsidRPr="0080263B">
        <w:rPr>
          <w:rFonts w:ascii="Arial" w:hAnsi="Arial" w:cs="Arial"/>
          <w:b/>
          <w:bCs/>
        </w:rPr>
        <w:t xml:space="preserve">la misma partida </w:t>
      </w:r>
      <w:r w:rsidR="004554CE" w:rsidRPr="0080263B">
        <w:rPr>
          <w:rFonts w:ascii="Arial" w:hAnsi="Arial" w:cs="Arial"/>
          <w:b/>
          <w:bCs/>
        </w:rPr>
        <w:t>por cada uno de los</w:t>
      </w:r>
      <w:r w:rsidRPr="0080263B">
        <w:rPr>
          <w:rFonts w:ascii="Arial" w:hAnsi="Arial" w:cs="Arial"/>
          <w:b/>
          <w:bCs/>
        </w:rPr>
        <w:t xml:space="preserve"> proyectos</w:t>
      </w:r>
      <w:r w:rsidRPr="004A658B">
        <w:rPr>
          <w:rFonts w:ascii="Arial" w:hAnsi="Arial" w:cs="Arial"/>
          <w:bCs/>
        </w:rPr>
        <w:t xml:space="preserve"> </w:t>
      </w:r>
      <w:r w:rsidR="004554CE" w:rsidRPr="004A658B">
        <w:rPr>
          <w:rFonts w:ascii="Arial" w:hAnsi="Arial" w:cs="Arial"/>
          <w:bCs/>
        </w:rPr>
        <w:t>que hayan sido catalogados</w:t>
      </w:r>
      <w:r w:rsidR="00C21B42" w:rsidRPr="004A658B">
        <w:rPr>
          <w:rFonts w:ascii="Arial" w:hAnsi="Arial" w:cs="Arial"/>
          <w:bCs/>
        </w:rPr>
        <w:t xml:space="preserve"> </w:t>
      </w:r>
      <w:r w:rsidR="004554CE" w:rsidRPr="004A658B">
        <w:rPr>
          <w:rFonts w:ascii="Arial" w:hAnsi="Arial" w:cs="Arial"/>
          <w:bCs/>
        </w:rPr>
        <w:t xml:space="preserve">como perjudiciales </w:t>
      </w:r>
      <w:r w:rsidR="00C21B42" w:rsidRPr="004A658B">
        <w:rPr>
          <w:rFonts w:ascii="Arial" w:hAnsi="Arial" w:cs="Arial"/>
          <w:bCs/>
        </w:rPr>
        <w:t xml:space="preserve">para el medio </w:t>
      </w:r>
      <w:r w:rsidR="00C21B42" w:rsidRPr="0080263B">
        <w:rPr>
          <w:rFonts w:ascii="Arial" w:hAnsi="Arial" w:cs="Arial"/>
          <w:bCs/>
        </w:rPr>
        <w:t xml:space="preserve">ambiente, </w:t>
      </w:r>
      <w:r w:rsidR="004554CE" w:rsidRPr="0080263B">
        <w:rPr>
          <w:rFonts w:ascii="Arial" w:hAnsi="Arial" w:cs="Arial"/>
          <w:bCs/>
        </w:rPr>
        <w:t xml:space="preserve">incluyendo </w:t>
      </w:r>
      <w:r w:rsidR="00C21B42" w:rsidRPr="0080263B">
        <w:rPr>
          <w:rFonts w:ascii="Arial" w:hAnsi="Arial" w:cs="Arial"/>
          <w:bCs/>
        </w:rPr>
        <w:t>la denominación</w:t>
      </w:r>
      <w:r w:rsidR="00C65990" w:rsidRPr="0080263B">
        <w:rPr>
          <w:rFonts w:ascii="Arial" w:hAnsi="Arial" w:cs="Arial"/>
          <w:bCs/>
        </w:rPr>
        <w:t xml:space="preserve"> </w:t>
      </w:r>
      <w:r w:rsidR="004554CE" w:rsidRPr="0080263B">
        <w:rPr>
          <w:rFonts w:ascii="Arial" w:hAnsi="Arial" w:cs="Arial"/>
          <w:bCs/>
        </w:rPr>
        <w:t>de cada</w:t>
      </w:r>
      <w:r w:rsidR="00C65990" w:rsidRPr="0080263B">
        <w:rPr>
          <w:rFonts w:ascii="Arial" w:hAnsi="Arial" w:cs="Arial"/>
          <w:bCs/>
        </w:rPr>
        <w:t xml:space="preserve"> </w:t>
      </w:r>
      <w:r w:rsidR="004554CE" w:rsidRPr="0080263B">
        <w:rPr>
          <w:rFonts w:ascii="Arial" w:hAnsi="Arial" w:cs="Arial"/>
          <w:bCs/>
        </w:rPr>
        <w:t>uno de ellos</w:t>
      </w:r>
      <w:r w:rsidR="0086082C" w:rsidRPr="0080263B">
        <w:rPr>
          <w:rFonts w:ascii="Arial" w:hAnsi="Arial" w:cs="Arial"/>
          <w:bCs/>
        </w:rPr>
        <w:t>.</w:t>
      </w:r>
      <w:r w:rsidR="004554CE" w:rsidRPr="0080263B">
        <w:rPr>
          <w:rFonts w:ascii="Arial" w:hAnsi="Arial" w:cs="Arial"/>
          <w:bCs/>
        </w:rPr>
        <w:t xml:space="preserve"> </w:t>
      </w:r>
    </w:p>
    <w:p w14:paraId="180CE9E6" w14:textId="2B3ACADE" w:rsidR="00C81D60" w:rsidRPr="004A658B" w:rsidRDefault="00C81D60" w:rsidP="00C0156A">
      <w:pPr>
        <w:pStyle w:val="Prrafodelista"/>
        <w:numPr>
          <w:ilvl w:val="0"/>
          <w:numId w:val="2"/>
        </w:numPr>
        <w:spacing w:after="120" w:line="276" w:lineRule="auto"/>
        <w:ind w:left="1428" w:hanging="357"/>
        <w:contextualSpacing w:val="0"/>
        <w:jc w:val="both"/>
        <w:rPr>
          <w:rFonts w:ascii="Arial" w:hAnsi="Arial" w:cs="Arial"/>
          <w:bCs/>
        </w:rPr>
      </w:pPr>
      <w:r w:rsidRPr="004A658B">
        <w:rPr>
          <w:rFonts w:ascii="Arial" w:hAnsi="Arial" w:cs="Arial"/>
          <w:bCs/>
        </w:rPr>
        <w:t xml:space="preserve">No obstante, </w:t>
      </w:r>
      <w:r w:rsidR="00C0156A" w:rsidRPr="004A658B">
        <w:rPr>
          <w:rFonts w:ascii="Arial" w:hAnsi="Arial" w:cs="Arial"/>
          <w:bCs/>
        </w:rPr>
        <w:t>s</w:t>
      </w:r>
      <w:r w:rsidRPr="004A658B">
        <w:rPr>
          <w:rFonts w:ascii="Arial" w:hAnsi="Arial" w:cs="Arial"/>
          <w:bCs/>
        </w:rPr>
        <w:t xml:space="preserve">i </w:t>
      </w:r>
      <w:r w:rsidR="002B0950" w:rsidRPr="004A658B">
        <w:rPr>
          <w:rFonts w:ascii="Arial" w:hAnsi="Arial" w:cs="Arial"/>
          <w:bCs/>
        </w:rPr>
        <w:t>existiera</w:t>
      </w:r>
      <w:r w:rsidRPr="004A658B">
        <w:rPr>
          <w:rFonts w:ascii="Arial" w:hAnsi="Arial" w:cs="Arial"/>
          <w:bCs/>
        </w:rPr>
        <w:t xml:space="preserve"> una pluralidad de proyectos con características homogéneas incluidos dentro de una misma partida presupuestaria (con el nivel de desagregación que se considere oportuno) que puedan ser identificados con el mismo tipo de gasto perjudicial, se podrá incluir esta agrupación bajo un título identificativo. En estos casos se hará mención en el campo “Observaciones” al número de proyectos que se han agrupado.</w:t>
      </w:r>
    </w:p>
    <w:p w14:paraId="2F40B6A0" w14:textId="1482C957" w:rsidR="003800F4" w:rsidRPr="004A658B" w:rsidRDefault="003800F4" w:rsidP="00A13085">
      <w:pPr>
        <w:spacing w:line="276" w:lineRule="auto"/>
        <w:ind w:left="708"/>
        <w:jc w:val="both"/>
        <w:rPr>
          <w:rFonts w:ascii="Arial" w:hAnsi="Arial" w:cs="Arial"/>
        </w:rPr>
      </w:pPr>
      <w:r w:rsidRPr="004A658B">
        <w:rPr>
          <w:rFonts w:ascii="Arial" w:hAnsi="Arial" w:cs="Arial"/>
          <w:b/>
          <w:bCs/>
        </w:rPr>
        <w:t>%</w:t>
      </w:r>
      <w:r w:rsidR="009504E1" w:rsidRPr="004A658B">
        <w:rPr>
          <w:rFonts w:ascii="Arial" w:hAnsi="Arial" w:cs="Arial"/>
          <w:b/>
          <w:bCs/>
        </w:rPr>
        <w:t xml:space="preserve"> de la partida</w:t>
      </w:r>
      <w:r w:rsidRPr="004A658B">
        <w:rPr>
          <w:rFonts w:ascii="Arial" w:hAnsi="Arial" w:cs="Arial"/>
          <w:b/>
          <w:bCs/>
        </w:rPr>
        <w:t>:</w:t>
      </w:r>
      <w:r w:rsidRPr="004A658B">
        <w:rPr>
          <w:rFonts w:ascii="Arial" w:hAnsi="Arial" w:cs="Arial"/>
        </w:rPr>
        <w:t xml:space="preserve"> </w:t>
      </w:r>
      <w:r w:rsidR="008268C4">
        <w:rPr>
          <w:rFonts w:ascii="Arial" w:hAnsi="Arial" w:cs="Arial"/>
        </w:rPr>
        <w:t>I</w:t>
      </w:r>
      <w:r w:rsidR="000409A2" w:rsidRPr="004A658B">
        <w:rPr>
          <w:rFonts w:ascii="Arial" w:hAnsi="Arial" w:cs="Arial"/>
        </w:rPr>
        <w:t xml:space="preserve">ncluirá </w:t>
      </w:r>
      <w:r w:rsidRPr="004A658B">
        <w:rPr>
          <w:rFonts w:ascii="Arial" w:hAnsi="Arial" w:cs="Arial"/>
        </w:rPr>
        <w:t xml:space="preserve">el porcentaje de la partida presupuestaria que </w:t>
      </w:r>
      <w:r w:rsidR="009504E1" w:rsidRPr="004A658B">
        <w:rPr>
          <w:rFonts w:ascii="Arial" w:hAnsi="Arial" w:cs="Arial"/>
        </w:rPr>
        <w:t>financia el gasto perjudicial para el medio ambiente</w:t>
      </w:r>
      <w:r w:rsidRPr="004A658B">
        <w:rPr>
          <w:rFonts w:ascii="Arial" w:hAnsi="Arial" w:cs="Arial"/>
        </w:rPr>
        <w:t xml:space="preserve">. </w:t>
      </w:r>
    </w:p>
    <w:p w14:paraId="2CC8D6F2" w14:textId="7D254D9C" w:rsidR="00806774" w:rsidRPr="004A658B" w:rsidRDefault="003800F4" w:rsidP="00806774">
      <w:pPr>
        <w:pStyle w:val="Prrafodelista"/>
        <w:numPr>
          <w:ilvl w:val="0"/>
          <w:numId w:val="1"/>
        </w:numPr>
        <w:spacing w:before="120" w:after="120" w:line="276" w:lineRule="auto"/>
        <w:ind w:left="1276" w:firstLine="0"/>
        <w:contextualSpacing w:val="0"/>
        <w:jc w:val="both"/>
        <w:rPr>
          <w:rFonts w:ascii="Arial" w:hAnsi="Arial" w:cs="Arial"/>
        </w:rPr>
      </w:pPr>
      <w:r w:rsidRPr="004A658B">
        <w:rPr>
          <w:rFonts w:ascii="Arial" w:hAnsi="Arial" w:cs="Arial"/>
        </w:rPr>
        <w:t xml:space="preserve">En el caso de que la partida esté dirigida </w:t>
      </w:r>
      <w:r w:rsidR="0080263B">
        <w:rPr>
          <w:rFonts w:ascii="Arial" w:hAnsi="Arial" w:cs="Arial"/>
        </w:rPr>
        <w:t>íntegramente</w:t>
      </w:r>
      <w:r w:rsidRPr="004A658B">
        <w:rPr>
          <w:rFonts w:ascii="Arial" w:hAnsi="Arial" w:cs="Arial"/>
        </w:rPr>
        <w:t xml:space="preserve"> a</w:t>
      </w:r>
      <w:r w:rsidR="009504E1" w:rsidRPr="004A658B">
        <w:rPr>
          <w:rFonts w:ascii="Arial" w:hAnsi="Arial" w:cs="Arial"/>
        </w:rPr>
        <w:t xml:space="preserve"> financiar la totalidad del gasto</w:t>
      </w:r>
      <w:r w:rsidR="0080263B">
        <w:rPr>
          <w:rFonts w:ascii="Arial" w:hAnsi="Arial" w:cs="Arial"/>
        </w:rPr>
        <w:t xml:space="preserve"> perjudicial</w:t>
      </w:r>
      <w:r w:rsidRPr="004A658B">
        <w:rPr>
          <w:rFonts w:ascii="Arial" w:hAnsi="Arial" w:cs="Arial"/>
        </w:rPr>
        <w:t xml:space="preserve"> deberá indicarse un 100%</w:t>
      </w:r>
      <w:r w:rsidR="0086082C" w:rsidRPr="004A658B">
        <w:rPr>
          <w:rFonts w:ascii="Arial" w:hAnsi="Arial" w:cs="Arial"/>
        </w:rPr>
        <w:t>.</w:t>
      </w:r>
      <w:r w:rsidR="007B3C69" w:rsidRPr="004A658B">
        <w:rPr>
          <w:rFonts w:ascii="Arial" w:hAnsi="Arial" w:cs="Arial"/>
        </w:rPr>
        <w:t xml:space="preserve"> </w:t>
      </w:r>
      <w:r w:rsidR="0086082C" w:rsidRPr="004A658B">
        <w:rPr>
          <w:rFonts w:ascii="Arial" w:hAnsi="Arial" w:cs="Arial"/>
        </w:rPr>
        <w:t>E</w:t>
      </w:r>
      <w:r w:rsidR="007B3C69" w:rsidRPr="004A658B">
        <w:rPr>
          <w:rFonts w:ascii="Arial" w:hAnsi="Arial" w:cs="Arial"/>
        </w:rPr>
        <w:t>n caso contrario, se estimará el porcentaje.</w:t>
      </w:r>
    </w:p>
    <w:p w14:paraId="3A99F427" w14:textId="09FE4CA1" w:rsidR="003A1EA7" w:rsidRPr="004A658B" w:rsidRDefault="00806774" w:rsidP="00806774">
      <w:pPr>
        <w:pStyle w:val="Prrafodelista"/>
        <w:numPr>
          <w:ilvl w:val="0"/>
          <w:numId w:val="1"/>
        </w:numPr>
        <w:spacing w:before="120" w:after="120" w:line="276" w:lineRule="auto"/>
        <w:ind w:left="1276" w:firstLine="0"/>
        <w:contextualSpacing w:val="0"/>
        <w:jc w:val="both"/>
        <w:rPr>
          <w:rFonts w:ascii="Arial" w:hAnsi="Arial" w:cs="Arial"/>
        </w:rPr>
      </w:pPr>
      <w:r w:rsidRPr="004A658B">
        <w:rPr>
          <w:rFonts w:ascii="Arial" w:hAnsi="Arial" w:cs="Arial"/>
        </w:rPr>
        <w:t>Para el capítulo 6, en el supuesto de que haya varios proyectos de inversión perjudiciales para el medio ambiente que estén vinculados a la misma partida, p</w:t>
      </w:r>
      <w:r w:rsidR="003A1EA7" w:rsidRPr="004A658B">
        <w:rPr>
          <w:rFonts w:ascii="Arial" w:hAnsi="Arial" w:cs="Arial"/>
        </w:rPr>
        <w:t>ara cada proyecto identificado</w:t>
      </w:r>
      <w:r w:rsidR="00B85FEE" w:rsidRPr="004A658B">
        <w:rPr>
          <w:rFonts w:ascii="Arial" w:hAnsi="Arial" w:cs="Arial"/>
        </w:rPr>
        <w:t xml:space="preserve"> </w:t>
      </w:r>
      <w:r w:rsidR="00C0156A" w:rsidRPr="004A658B">
        <w:rPr>
          <w:rFonts w:ascii="Arial" w:hAnsi="Arial" w:cs="Arial"/>
        </w:rPr>
        <w:t xml:space="preserve">(o grupo de proyectos si se hubieran agrupado) </w:t>
      </w:r>
      <w:r w:rsidR="00B85FEE" w:rsidRPr="004A658B">
        <w:rPr>
          <w:rFonts w:ascii="Arial" w:hAnsi="Arial" w:cs="Arial"/>
        </w:rPr>
        <w:t>se considerará su peso relativo sobre el total de la partida.</w:t>
      </w:r>
      <w:r w:rsidR="003A1EA7" w:rsidRPr="004A658B">
        <w:rPr>
          <w:rFonts w:ascii="Arial" w:hAnsi="Arial" w:cs="Arial"/>
        </w:rPr>
        <w:t xml:space="preserve"> </w:t>
      </w:r>
      <w:r w:rsidR="003A1EA7" w:rsidRPr="00B27115">
        <w:rPr>
          <w:rFonts w:ascii="Arial" w:hAnsi="Arial" w:cs="Arial"/>
        </w:rPr>
        <w:t xml:space="preserve">En este supuesto, </w:t>
      </w:r>
      <w:r w:rsidR="0080263B" w:rsidRPr="00B27115">
        <w:rPr>
          <w:rFonts w:ascii="Arial" w:hAnsi="Arial" w:cs="Arial"/>
          <w:b/>
        </w:rPr>
        <w:t>la suma de los</w:t>
      </w:r>
      <w:r w:rsidR="003A1EA7" w:rsidRPr="00B27115">
        <w:rPr>
          <w:rFonts w:ascii="Arial" w:hAnsi="Arial" w:cs="Arial"/>
          <w:b/>
        </w:rPr>
        <w:t xml:space="preserve"> porcentaje</w:t>
      </w:r>
      <w:r w:rsidR="0080263B" w:rsidRPr="00B27115">
        <w:rPr>
          <w:rFonts w:ascii="Arial" w:hAnsi="Arial" w:cs="Arial"/>
          <w:b/>
        </w:rPr>
        <w:t>s</w:t>
      </w:r>
      <w:r w:rsidR="003A1EA7" w:rsidRPr="00B27115">
        <w:rPr>
          <w:rFonts w:ascii="Arial" w:hAnsi="Arial" w:cs="Arial"/>
          <w:b/>
        </w:rPr>
        <w:t xml:space="preserve"> </w:t>
      </w:r>
      <w:r w:rsidR="0080263B" w:rsidRPr="00B27115">
        <w:rPr>
          <w:rFonts w:ascii="Arial" w:hAnsi="Arial" w:cs="Arial"/>
          <w:b/>
        </w:rPr>
        <w:t>de</w:t>
      </w:r>
      <w:r w:rsidR="003A1EA7" w:rsidRPr="00B27115">
        <w:rPr>
          <w:rFonts w:ascii="Arial" w:hAnsi="Arial" w:cs="Arial"/>
          <w:b/>
        </w:rPr>
        <w:t xml:space="preserve"> </w:t>
      </w:r>
      <w:r w:rsidR="00B85FEE" w:rsidRPr="00B27115">
        <w:rPr>
          <w:rFonts w:ascii="Arial" w:hAnsi="Arial" w:cs="Arial"/>
          <w:b/>
        </w:rPr>
        <w:t>los proyectos</w:t>
      </w:r>
      <w:r w:rsidR="00B85FEE" w:rsidRPr="00B27115">
        <w:rPr>
          <w:rFonts w:ascii="Arial" w:hAnsi="Arial" w:cs="Arial"/>
        </w:rPr>
        <w:t xml:space="preserve"> incluidos</w:t>
      </w:r>
      <w:r w:rsidR="003A1EA7" w:rsidRPr="00B27115">
        <w:rPr>
          <w:rFonts w:ascii="Arial" w:hAnsi="Arial" w:cs="Arial"/>
        </w:rPr>
        <w:t xml:space="preserve"> </w:t>
      </w:r>
      <w:r w:rsidR="003A1EA7" w:rsidRPr="00B27115">
        <w:rPr>
          <w:rFonts w:ascii="Arial" w:hAnsi="Arial" w:cs="Arial"/>
          <w:b/>
        </w:rPr>
        <w:t>no podrá ser superior al 100% de la partida</w:t>
      </w:r>
      <w:r w:rsidR="003A1EA7" w:rsidRPr="00B27115">
        <w:rPr>
          <w:rFonts w:ascii="Arial" w:hAnsi="Arial" w:cs="Arial"/>
        </w:rPr>
        <w:t>.</w:t>
      </w:r>
    </w:p>
    <w:p w14:paraId="4EB773EC" w14:textId="5D004C80" w:rsidR="003B2B0A" w:rsidRPr="004A658B" w:rsidRDefault="003800F4" w:rsidP="00806774">
      <w:pPr>
        <w:spacing w:line="276" w:lineRule="auto"/>
        <w:ind w:left="708"/>
        <w:jc w:val="both"/>
        <w:rPr>
          <w:rFonts w:ascii="Arial" w:hAnsi="Arial" w:cs="Arial"/>
        </w:rPr>
      </w:pPr>
      <w:r w:rsidRPr="004A658B">
        <w:rPr>
          <w:rFonts w:ascii="Arial" w:hAnsi="Arial" w:cs="Arial"/>
          <w:b/>
          <w:bCs/>
        </w:rPr>
        <w:t>Observaciones:</w:t>
      </w:r>
      <w:r w:rsidR="00B27115">
        <w:rPr>
          <w:rFonts w:ascii="Arial" w:hAnsi="Arial" w:cs="Arial"/>
        </w:rPr>
        <w:t xml:space="preserve"> </w:t>
      </w:r>
      <w:r w:rsidR="00481023" w:rsidRPr="004A658B">
        <w:rPr>
          <w:rFonts w:ascii="Arial" w:hAnsi="Arial" w:cs="Arial"/>
        </w:rPr>
        <w:t xml:space="preserve">Campo de texto libre. En </w:t>
      </w:r>
      <w:r w:rsidR="004E5B25" w:rsidRPr="004A658B">
        <w:rPr>
          <w:rFonts w:ascii="Arial" w:hAnsi="Arial" w:cs="Arial"/>
        </w:rPr>
        <w:t>este apartado se podrá</w:t>
      </w:r>
      <w:r w:rsidR="00481023" w:rsidRPr="004A658B">
        <w:rPr>
          <w:rFonts w:ascii="Arial" w:hAnsi="Arial" w:cs="Arial"/>
        </w:rPr>
        <w:t>n</w:t>
      </w:r>
      <w:r w:rsidR="003B2B0A" w:rsidRPr="004A658B">
        <w:rPr>
          <w:rFonts w:ascii="Arial" w:hAnsi="Arial" w:cs="Arial"/>
        </w:rPr>
        <w:t xml:space="preserve"> incluir</w:t>
      </w:r>
      <w:r w:rsidR="00481023" w:rsidRPr="004A658B">
        <w:rPr>
          <w:rFonts w:ascii="Arial" w:hAnsi="Arial" w:cs="Arial"/>
        </w:rPr>
        <w:t xml:space="preserve"> los comentarios que el centro gestor considere pertinentes</w:t>
      </w:r>
      <w:r w:rsidR="006917E9">
        <w:rPr>
          <w:rFonts w:ascii="Arial" w:hAnsi="Arial" w:cs="Arial"/>
        </w:rPr>
        <w:t xml:space="preserve"> respecto del gasto perjudicial</w:t>
      </w:r>
      <w:r w:rsidR="00481023" w:rsidRPr="004A658B">
        <w:rPr>
          <w:rFonts w:ascii="Arial" w:hAnsi="Arial" w:cs="Arial"/>
        </w:rPr>
        <w:t xml:space="preserve">. A título </w:t>
      </w:r>
      <w:r w:rsidR="004B0F79" w:rsidRPr="004A658B">
        <w:rPr>
          <w:rFonts w:ascii="Arial" w:hAnsi="Arial" w:cs="Arial"/>
        </w:rPr>
        <w:t>orientativo</w:t>
      </w:r>
      <w:r w:rsidR="00481023" w:rsidRPr="004A658B">
        <w:rPr>
          <w:rFonts w:ascii="Arial" w:hAnsi="Arial" w:cs="Arial"/>
        </w:rPr>
        <w:t xml:space="preserve"> se pueden incluir</w:t>
      </w:r>
      <w:r w:rsidR="003B2B0A" w:rsidRPr="004A658B">
        <w:rPr>
          <w:rFonts w:ascii="Arial" w:hAnsi="Arial" w:cs="Arial"/>
        </w:rPr>
        <w:t>:</w:t>
      </w:r>
    </w:p>
    <w:p w14:paraId="6EE715A6" w14:textId="1E38E78A" w:rsidR="003B2B0A" w:rsidRPr="004A658B" w:rsidRDefault="003B2B0A" w:rsidP="003527C0">
      <w:pPr>
        <w:pStyle w:val="Prrafodelista"/>
        <w:numPr>
          <w:ilvl w:val="0"/>
          <w:numId w:val="1"/>
        </w:numPr>
        <w:spacing w:before="120" w:after="120" w:line="276" w:lineRule="auto"/>
        <w:ind w:left="1423" w:hanging="357"/>
        <w:contextualSpacing w:val="0"/>
        <w:jc w:val="both"/>
        <w:rPr>
          <w:rFonts w:ascii="Arial" w:hAnsi="Arial" w:cs="Arial"/>
        </w:rPr>
      </w:pPr>
      <w:r w:rsidRPr="004A658B">
        <w:rPr>
          <w:rFonts w:ascii="Arial" w:hAnsi="Arial" w:cs="Arial"/>
        </w:rPr>
        <w:t xml:space="preserve">Las medidas de mitigación del gasto perjudicial correspondiente, en el caso de que las hubiera. Por ejemplo, se podría considerar como medidas de mitigación las incluidas en el programa correspondiente en </w:t>
      </w:r>
      <w:r w:rsidR="006A1C4F" w:rsidRPr="004A658B">
        <w:rPr>
          <w:rFonts w:ascii="Arial" w:hAnsi="Arial" w:cs="Arial"/>
        </w:rPr>
        <w:t xml:space="preserve">el Informe de </w:t>
      </w:r>
      <w:r w:rsidR="0058759B">
        <w:rPr>
          <w:rFonts w:ascii="Arial" w:hAnsi="Arial" w:cs="Arial"/>
        </w:rPr>
        <w:t>A</w:t>
      </w:r>
      <w:r w:rsidR="006A1C4F" w:rsidRPr="004A658B">
        <w:rPr>
          <w:rFonts w:ascii="Arial" w:hAnsi="Arial" w:cs="Arial"/>
        </w:rPr>
        <w:t xml:space="preserve">lineamiento </w:t>
      </w:r>
      <w:r w:rsidR="00533417" w:rsidRPr="004A658B">
        <w:rPr>
          <w:rFonts w:ascii="Arial" w:hAnsi="Arial" w:cs="Arial"/>
        </w:rPr>
        <w:t xml:space="preserve">de los </w:t>
      </w:r>
      <w:r w:rsidR="0058759B">
        <w:rPr>
          <w:rFonts w:ascii="Arial" w:hAnsi="Arial" w:cs="Arial"/>
        </w:rPr>
        <w:t>P</w:t>
      </w:r>
      <w:r w:rsidR="00533417" w:rsidRPr="004A658B">
        <w:rPr>
          <w:rFonts w:ascii="Arial" w:hAnsi="Arial" w:cs="Arial"/>
        </w:rPr>
        <w:t xml:space="preserve">resupuestos </w:t>
      </w:r>
      <w:r w:rsidR="006A1C4F" w:rsidRPr="004A658B">
        <w:rPr>
          <w:rFonts w:ascii="Arial" w:hAnsi="Arial" w:cs="Arial"/>
        </w:rPr>
        <w:t xml:space="preserve">con la </w:t>
      </w:r>
      <w:r w:rsidR="0058759B">
        <w:rPr>
          <w:rFonts w:ascii="Arial" w:hAnsi="Arial" w:cs="Arial"/>
        </w:rPr>
        <w:t>T</w:t>
      </w:r>
      <w:r w:rsidR="006A1C4F" w:rsidRPr="004A658B">
        <w:rPr>
          <w:rFonts w:ascii="Arial" w:hAnsi="Arial" w:cs="Arial"/>
        </w:rPr>
        <w:t xml:space="preserve">ransición </w:t>
      </w:r>
      <w:r w:rsidR="0058759B">
        <w:rPr>
          <w:rFonts w:ascii="Arial" w:hAnsi="Arial" w:cs="Arial"/>
        </w:rPr>
        <w:t>E</w:t>
      </w:r>
      <w:r w:rsidR="006A1C4F" w:rsidRPr="004A658B">
        <w:rPr>
          <w:rFonts w:ascii="Arial" w:hAnsi="Arial" w:cs="Arial"/>
        </w:rPr>
        <w:t xml:space="preserve">cológica </w:t>
      </w:r>
      <w:r w:rsidR="00533417" w:rsidRPr="004A658B">
        <w:rPr>
          <w:rFonts w:ascii="Arial" w:hAnsi="Arial" w:cs="Arial"/>
        </w:rPr>
        <w:t>en su dimensión verde.</w:t>
      </w:r>
    </w:p>
    <w:p w14:paraId="3236773E" w14:textId="12939368" w:rsidR="003B2B0A" w:rsidRPr="004A658B" w:rsidRDefault="003B2B0A" w:rsidP="003527C0">
      <w:pPr>
        <w:pStyle w:val="Prrafodelista"/>
        <w:numPr>
          <w:ilvl w:val="0"/>
          <w:numId w:val="1"/>
        </w:numPr>
        <w:spacing w:before="120" w:after="120" w:line="276" w:lineRule="auto"/>
        <w:ind w:left="1423" w:hanging="357"/>
        <w:contextualSpacing w:val="0"/>
        <w:jc w:val="both"/>
        <w:rPr>
          <w:rFonts w:ascii="Arial" w:hAnsi="Arial" w:cs="Arial"/>
        </w:rPr>
      </w:pPr>
      <w:r w:rsidRPr="004A658B">
        <w:rPr>
          <w:rFonts w:ascii="Arial" w:hAnsi="Arial" w:cs="Arial"/>
        </w:rPr>
        <w:t>Regulación de este gasto, si estuviera imp</w:t>
      </w:r>
      <w:r w:rsidR="00B27115">
        <w:rPr>
          <w:rFonts w:ascii="Arial" w:hAnsi="Arial" w:cs="Arial"/>
        </w:rPr>
        <w:t>uesto por una obligación legal.</w:t>
      </w:r>
    </w:p>
    <w:p w14:paraId="0615E4BE" w14:textId="4766C9AD" w:rsidR="003B2B0A" w:rsidRPr="004A658B" w:rsidRDefault="003B2B0A" w:rsidP="003527C0">
      <w:pPr>
        <w:pStyle w:val="Prrafodelista"/>
        <w:numPr>
          <w:ilvl w:val="0"/>
          <w:numId w:val="1"/>
        </w:numPr>
        <w:spacing w:before="120" w:after="120" w:line="276" w:lineRule="auto"/>
        <w:ind w:left="1423" w:hanging="357"/>
        <w:contextualSpacing w:val="0"/>
        <w:jc w:val="both"/>
        <w:rPr>
          <w:rFonts w:ascii="Arial" w:hAnsi="Arial" w:cs="Arial"/>
        </w:rPr>
      </w:pPr>
      <w:r w:rsidRPr="004A658B">
        <w:rPr>
          <w:rFonts w:ascii="Arial" w:hAnsi="Arial" w:cs="Arial"/>
        </w:rPr>
        <w:t xml:space="preserve">Justificación del gasto, por ejemplo, por responder a otros fines como los de carácter social. </w:t>
      </w:r>
    </w:p>
    <w:p w14:paraId="7E0EEEBE" w14:textId="4B3FD79B" w:rsidR="00C81D60" w:rsidRPr="004A658B" w:rsidRDefault="004B0F79" w:rsidP="003527C0">
      <w:pPr>
        <w:pStyle w:val="Prrafodelista"/>
        <w:numPr>
          <w:ilvl w:val="0"/>
          <w:numId w:val="1"/>
        </w:numPr>
        <w:spacing w:before="120" w:after="120" w:line="276" w:lineRule="auto"/>
        <w:ind w:left="1423" w:hanging="357"/>
        <w:contextualSpacing w:val="0"/>
        <w:jc w:val="both"/>
        <w:rPr>
          <w:rFonts w:ascii="Arial" w:hAnsi="Arial" w:cs="Arial"/>
        </w:rPr>
      </w:pPr>
      <w:r w:rsidRPr="004A658B">
        <w:rPr>
          <w:rFonts w:ascii="Arial" w:hAnsi="Arial" w:cs="Arial"/>
        </w:rPr>
        <w:t>Alcance temporal definido del gasto perjudicial.</w:t>
      </w:r>
    </w:p>
    <w:p w14:paraId="6B3F281A" w14:textId="1F078B51" w:rsidR="00533417" w:rsidRPr="004A658B" w:rsidRDefault="00533417" w:rsidP="003527C0">
      <w:pPr>
        <w:pStyle w:val="Prrafodelista"/>
        <w:numPr>
          <w:ilvl w:val="0"/>
          <w:numId w:val="1"/>
        </w:numPr>
        <w:spacing w:before="120" w:after="120" w:line="276" w:lineRule="auto"/>
        <w:ind w:left="1423" w:hanging="357"/>
        <w:contextualSpacing w:val="0"/>
        <w:jc w:val="both"/>
        <w:rPr>
          <w:rFonts w:ascii="Arial" w:hAnsi="Arial" w:cs="Arial"/>
        </w:rPr>
      </w:pPr>
      <w:r w:rsidRPr="004A658B">
        <w:rPr>
          <w:rFonts w:ascii="Arial" w:hAnsi="Arial" w:cs="Arial"/>
        </w:rPr>
        <w:t xml:space="preserve">Cálculos realizados para las estimaciones de </w:t>
      </w:r>
      <w:r w:rsidR="008268C4">
        <w:rPr>
          <w:rFonts w:ascii="Arial" w:hAnsi="Arial" w:cs="Arial"/>
        </w:rPr>
        <w:t xml:space="preserve">los </w:t>
      </w:r>
      <w:r w:rsidR="003C7571" w:rsidRPr="004A658B">
        <w:rPr>
          <w:rFonts w:ascii="Arial" w:hAnsi="Arial" w:cs="Arial"/>
        </w:rPr>
        <w:t>porcentajes</w:t>
      </w:r>
      <w:r w:rsidR="008268C4">
        <w:rPr>
          <w:rFonts w:ascii="Arial" w:hAnsi="Arial" w:cs="Arial"/>
        </w:rPr>
        <w:t xml:space="preserve"> registrados</w:t>
      </w:r>
      <w:r w:rsidRPr="004A658B">
        <w:rPr>
          <w:rFonts w:ascii="Arial" w:hAnsi="Arial" w:cs="Arial"/>
        </w:rPr>
        <w:t>.</w:t>
      </w:r>
    </w:p>
    <w:p w14:paraId="7E95BD94" w14:textId="702E7DA1" w:rsidR="00A27E10" w:rsidRPr="0080263B" w:rsidRDefault="003B2B0A" w:rsidP="006B62E3">
      <w:pPr>
        <w:pStyle w:val="Prrafodelista"/>
        <w:numPr>
          <w:ilvl w:val="0"/>
          <w:numId w:val="1"/>
        </w:numPr>
        <w:spacing w:before="120" w:after="120" w:line="276" w:lineRule="auto"/>
        <w:ind w:left="1423" w:hanging="357"/>
        <w:contextualSpacing w:val="0"/>
        <w:jc w:val="both"/>
        <w:rPr>
          <w:rFonts w:ascii="Arial" w:hAnsi="Arial" w:cs="Arial"/>
        </w:rPr>
        <w:sectPr w:rsidR="00A27E10" w:rsidRPr="0080263B" w:rsidSect="00A27E10">
          <w:headerReference w:type="default" r:id="rId8"/>
          <w:footerReference w:type="default" r:id="rId9"/>
          <w:pgSz w:w="11906" w:h="16838"/>
          <w:pgMar w:top="1417" w:right="1701" w:bottom="1417" w:left="1701" w:header="709" w:footer="709" w:gutter="0"/>
          <w:cols w:space="708"/>
          <w:docGrid w:linePitch="360"/>
        </w:sectPr>
      </w:pPr>
      <w:r w:rsidRPr="0080263B">
        <w:rPr>
          <w:rFonts w:ascii="Arial" w:hAnsi="Arial" w:cs="Arial"/>
        </w:rPr>
        <w:t>Cualquier otra obs</w:t>
      </w:r>
      <w:r w:rsidR="004C79E4" w:rsidRPr="0080263B">
        <w:rPr>
          <w:rFonts w:ascii="Arial" w:hAnsi="Arial" w:cs="Arial"/>
        </w:rPr>
        <w:t>ervación que se quiera incluir.</w:t>
      </w:r>
      <w:r w:rsidR="00A27E10" w:rsidRPr="0080263B">
        <w:rPr>
          <w:rFonts w:ascii="Arial" w:hAnsi="Arial" w:cs="Arial"/>
        </w:rPr>
        <w:br w:type="page"/>
      </w:r>
    </w:p>
    <w:p w14:paraId="0F9C91FD" w14:textId="77777777" w:rsidR="00A27E10" w:rsidRPr="00A27E10" w:rsidRDefault="00A27E10" w:rsidP="00A27E10">
      <w:pPr>
        <w:jc w:val="center"/>
        <w:rPr>
          <w:b/>
          <w:sz w:val="28"/>
          <w:u w:val="single"/>
        </w:rPr>
      </w:pPr>
      <w:r w:rsidRPr="00A27E10">
        <w:rPr>
          <w:b/>
          <w:sz w:val="28"/>
          <w:u w:val="single"/>
        </w:rPr>
        <w:lastRenderedPageBreak/>
        <w:t>Anexo I. Lista completa de gastos perjudiciales</w:t>
      </w:r>
    </w:p>
    <w:p w14:paraId="04995F38" w14:textId="77777777" w:rsidR="00A27E10" w:rsidRPr="00A27E10" w:rsidRDefault="00A27E10" w:rsidP="00A27E10">
      <w:pPr>
        <w:rPr>
          <w:b/>
          <w:u w:val="single"/>
        </w:rPr>
      </w:pPr>
    </w:p>
    <w:p w14:paraId="0AE6A5B0" w14:textId="77777777" w:rsidR="00A27E10" w:rsidRPr="00A27E10" w:rsidRDefault="00A27E10" w:rsidP="00A27E10">
      <w:pPr>
        <w:rPr>
          <w:b/>
          <w:sz w:val="28"/>
          <w:u w:val="single"/>
        </w:rPr>
      </w:pPr>
      <w:r w:rsidRPr="00A27E10">
        <w:rPr>
          <w:b/>
          <w:sz w:val="28"/>
          <w:u w:val="single"/>
        </w:rPr>
        <w:t xml:space="preserve">Gastos comunes </w:t>
      </w:r>
    </w:p>
    <w:tbl>
      <w:tblPr>
        <w:tblW w:w="14453" w:type="dxa"/>
        <w:tblLayout w:type="fixed"/>
        <w:tblCellMar>
          <w:left w:w="70" w:type="dxa"/>
          <w:right w:w="70" w:type="dxa"/>
        </w:tblCellMar>
        <w:tblLook w:val="04A0" w:firstRow="1" w:lastRow="0" w:firstColumn="1" w:lastColumn="0" w:noHBand="0" w:noVBand="1"/>
      </w:tblPr>
      <w:tblGrid>
        <w:gridCol w:w="3256"/>
        <w:gridCol w:w="6377"/>
        <w:gridCol w:w="3828"/>
        <w:gridCol w:w="992"/>
      </w:tblGrid>
      <w:tr w:rsidR="00A27E10" w:rsidRPr="00A27E10" w14:paraId="5D3366DA" w14:textId="77777777" w:rsidTr="006822AF">
        <w:trPr>
          <w:trHeight w:val="480"/>
          <w:tblHeader/>
        </w:trPr>
        <w:tc>
          <w:tcPr>
            <w:tcW w:w="3256" w:type="dxa"/>
            <w:tcBorders>
              <w:top w:val="single" w:sz="4" w:space="0" w:color="auto"/>
              <w:left w:val="single" w:sz="4" w:space="0" w:color="auto"/>
              <w:bottom w:val="nil"/>
              <w:right w:val="single" w:sz="4" w:space="0" w:color="auto"/>
            </w:tcBorders>
            <w:shd w:val="clear" w:color="000000" w:fill="C00000"/>
            <w:vAlign w:val="center"/>
            <w:hideMark/>
          </w:tcPr>
          <w:p w14:paraId="4D6F0935"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Gasto</w:t>
            </w:r>
          </w:p>
        </w:tc>
        <w:tc>
          <w:tcPr>
            <w:tcW w:w="6377" w:type="dxa"/>
            <w:tcBorders>
              <w:top w:val="single" w:sz="4" w:space="0" w:color="auto"/>
              <w:left w:val="nil"/>
              <w:bottom w:val="nil"/>
              <w:right w:val="single" w:sz="4" w:space="0" w:color="auto"/>
            </w:tcBorders>
            <w:shd w:val="clear" w:color="000000" w:fill="C00000"/>
            <w:vAlign w:val="center"/>
            <w:hideMark/>
          </w:tcPr>
          <w:p w14:paraId="37C11FE7"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Explicación</w:t>
            </w:r>
          </w:p>
        </w:tc>
        <w:tc>
          <w:tcPr>
            <w:tcW w:w="3828" w:type="dxa"/>
            <w:tcBorders>
              <w:top w:val="single" w:sz="4" w:space="0" w:color="auto"/>
              <w:left w:val="nil"/>
              <w:bottom w:val="nil"/>
              <w:right w:val="single" w:sz="4" w:space="0" w:color="auto"/>
            </w:tcBorders>
            <w:shd w:val="clear" w:color="000000" w:fill="C00000"/>
            <w:vAlign w:val="center"/>
            <w:hideMark/>
          </w:tcPr>
          <w:p w14:paraId="06F1BF1B"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¿Dónde los vamos a encontrar?</w:t>
            </w:r>
          </w:p>
        </w:tc>
        <w:tc>
          <w:tcPr>
            <w:tcW w:w="992" w:type="dxa"/>
            <w:tcBorders>
              <w:top w:val="single" w:sz="4" w:space="0" w:color="auto"/>
              <w:left w:val="nil"/>
              <w:bottom w:val="nil"/>
              <w:right w:val="single" w:sz="4" w:space="0" w:color="auto"/>
            </w:tcBorders>
            <w:shd w:val="clear" w:color="000000" w:fill="C00000"/>
            <w:vAlign w:val="center"/>
            <w:hideMark/>
          </w:tcPr>
          <w:p w14:paraId="033D2EA7"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Sección</w:t>
            </w:r>
          </w:p>
        </w:tc>
      </w:tr>
      <w:tr w:rsidR="00A27E10" w:rsidRPr="00A27E10" w14:paraId="6D7A990D" w14:textId="77777777" w:rsidTr="006822AF">
        <w:trPr>
          <w:trHeight w:val="600"/>
        </w:trPr>
        <w:tc>
          <w:tcPr>
            <w:tcW w:w="3256" w:type="dxa"/>
            <w:tcBorders>
              <w:top w:val="single" w:sz="8" w:space="0" w:color="auto"/>
              <w:left w:val="single" w:sz="4" w:space="0" w:color="auto"/>
              <w:bottom w:val="single" w:sz="4" w:space="0" w:color="auto"/>
              <w:right w:val="single" w:sz="4" w:space="0" w:color="auto"/>
            </w:tcBorders>
            <w:shd w:val="clear" w:color="000000" w:fill="FCE4D6"/>
            <w:vAlign w:val="center"/>
            <w:hideMark/>
          </w:tcPr>
          <w:p w14:paraId="17FD9D28"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C1</w:t>
            </w:r>
            <w:r w:rsidRPr="00A27E10">
              <w:rPr>
                <w:rFonts w:ascii="Calibri" w:eastAsia="Times New Roman" w:hAnsi="Calibri" w:cs="Calibri"/>
                <w:bCs/>
                <w:color w:val="000000"/>
                <w:lang w:eastAsia="es-ES"/>
              </w:rPr>
              <w:t xml:space="preserve"> - Consumo de combustibles fósiles para edificios y transporte</w:t>
            </w:r>
          </w:p>
        </w:tc>
        <w:tc>
          <w:tcPr>
            <w:tcW w:w="6377" w:type="dxa"/>
            <w:tcBorders>
              <w:top w:val="single" w:sz="8" w:space="0" w:color="auto"/>
              <w:left w:val="nil"/>
              <w:bottom w:val="single" w:sz="4" w:space="0" w:color="auto"/>
              <w:right w:val="single" w:sz="4" w:space="0" w:color="auto"/>
            </w:tcBorders>
            <w:shd w:val="clear" w:color="000000" w:fill="FCE4D6"/>
            <w:vAlign w:val="center"/>
            <w:hideMark/>
          </w:tcPr>
          <w:p w14:paraId="7782B77B"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Todo gasto corriente en combustibles fósiles: derivados del petróleo, carbón y gas natural.</w:t>
            </w:r>
          </w:p>
        </w:tc>
        <w:tc>
          <w:tcPr>
            <w:tcW w:w="3828" w:type="dxa"/>
            <w:tcBorders>
              <w:top w:val="single" w:sz="8" w:space="0" w:color="auto"/>
              <w:left w:val="nil"/>
              <w:bottom w:val="single" w:sz="4" w:space="0" w:color="auto"/>
              <w:right w:val="single" w:sz="4" w:space="0" w:color="auto"/>
            </w:tcBorders>
            <w:shd w:val="clear" w:color="000000" w:fill="FCE4D6"/>
            <w:vAlign w:val="center"/>
            <w:hideMark/>
          </w:tcPr>
          <w:p w14:paraId="6CC5F379"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Subconcepto 221.02 Gas</w:t>
            </w:r>
            <w:r w:rsidRPr="00A27E10">
              <w:rPr>
                <w:rFonts w:ascii="Calibri" w:eastAsia="Times New Roman" w:hAnsi="Calibri" w:cs="Calibri"/>
                <w:color w:val="000000"/>
                <w:lang w:eastAsia="es-ES"/>
              </w:rPr>
              <w:br/>
              <w:t>Subconcepto 221.03 Combustible</w:t>
            </w:r>
          </w:p>
        </w:tc>
        <w:tc>
          <w:tcPr>
            <w:tcW w:w="992" w:type="dxa"/>
            <w:tcBorders>
              <w:top w:val="single" w:sz="8" w:space="0" w:color="auto"/>
              <w:left w:val="nil"/>
              <w:bottom w:val="single" w:sz="4" w:space="0" w:color="auto"/>
              <w:right w:val="single" w:sz="8" w:space="0" w:color="auto"/>
            </w:tcBorders>
            <w:shd w:val="clear" w:color="000000" w:fill="FCE4D6"/>
            <w:vAlign w:val="center"/>
            <w:hideMark/>
          </w:tcPr>
          <w:p w14:paraId="011A6AA9"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r w:rsidR="00A27E10" w:rsidRPr="00A27E10" w14:paraId="121E4637" w14:textId="77777777" w:rsidTr="006822AF">
        <w:trPr>
          <w:trHeight w:val="3005"/>
        </w:trPr>
        <w:tc>
          <w:tcPr>
            <w:tcW w:w="3256" w:type="dxa"/>
            <w:tcBorders>
              <w:top w:val="nil"/>
              <w:left w:val="single" w:sz="4" w:space="0" w:color="auto"/>
              <w:bottom w:val="single" w:sz="4" w:space="0" w:color="auto"/>
              <w:right w:val="single" w:sz="4" w:space="0" w:color="auto"/>
            </w:tcBorders>
            <w:shd w:val="clear" w:color="000000" w:fill="FCE4D6"/>
            <w:vAlign w:val="center"/>
            <w:hideMark/>
          </w:tcPr>
          <w:p w14:paraId="134E88C1"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C2</w:t>
            </w:r>
            <w:r w:rsidRPr="00A27E10">
              <w:rPr>
                <w:rFonts w:ascii="Calibri" w:eastAsia="Times New Roman" w:hAnsi="Calibri" w:cs="Calibri"/>
                <w:bCs/>
                <w:color w:val="000000"/>
                <w:lang w:eastAsia="es-ES"/>
              </w:rPr>
              <w:t xml:space="preserve"> - Gastos en transporte y locomoción basados en combustibles fósiles</w:t>
            </w:r>
          </w:p>
        </w:tc>
        <w:tc>
          <w:tcPr>
            <w:tcW w:w="6377" w:type="dxa"/>
            <w:tcBorders>
              <w:top w:val="nil"/>
              <w:left w:val="nil"/>
              <w:bottom w:val="single" w:sz="4" w:space="0" w:color="auto"/>
              <w:right w:val="single" w:sz="4" w:space="0" w:color="auto"/>
            </w:tcBorders>
            <w:shd w:val="clear" w:color="000000" w:fill="FCE4D6"/>
            <w:vAlign w:val="center"/>
            <w:hideMark/>
          </w:tcPr>
          <w:p w14:paraId="46E10AE3"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Solo los siguientes gastos:</w:t>
            </w:r>
            <w:r w:rsidRPr="00A27E10">
              <w:rPr>
                <w:rFonts w:ascii="Calibri" w:eastAsia="Times New Roman" w:hAnsi="Calibri" w:cs="Calibri"/>
                <w:color w:val="000000"/>
                <w:lang w:eastAsia="es-ES"/>
              </w:rPr>
              <w:br/>
              <w:t>- En billetes o contratación de medios aéreos, marítimos.</w:t>
            </w:r>
          </w:p>
          <w:p w14:paraId="426B77D6"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 En servicio de taxis que no sean cero emisiones.</w:t>
            </w:r>
            <w:r w:rsidRPr="00A27E10">
              <w:rPr>
                <w:rFonts w:ascii="Calibri" w:eastAsia="Times New Roman" w:hAnsi="Calibri" w:cs="Calibri"/>
                <w:color w:val="000000"/>
                <w:lang w:eastAsia="es-ES"/>
              </w:rPr>
              <w:br/>
              <w:t>- En billetes o contratación de autobuses a Diesel, o en autobuses de transporte interurbano y de media y larga distancia.</w:t>
            </w:r>
            <w:r w:rsidRPr="00A27E10">
              <w:rPr>
                <w:rFonts w:ascii="Calibri" w:eastAsia="Times New Roman" w:hAnsi="Calibri" w:cs="Calibri"/>
                <w:color w:val="000000"/>
                <w:lang w:eastAsia="es-ES"/>
              </w:rPr>
              <w:br/>
              <w:t>- Transporte de mobiliario y enseres en traslados.</w:t>
            </w:r>
            <w:r w:rsidRPr="00A27E10">
              <w:rPr>
                <w:rFonts w:ascii="Calibri" w:eastAsia="Times New Roman" w:hAnsi="Calibri" w:cs="Calibri"/>
                <w:color w:val="000000"/>
                <w:lang w:eastAsia="es-ES"/>
              </w:rPr>
              <w:br/>
              <w:t>- Al Parque Móvil del Estado por servicios de vehículos que no sean cero emisiones.</w:t>
            </w:r>
            <w:r w:rsidRPr="00A27E10">
              <w:rPr>
                <w:rFonts w:ascii="Calibri" w:eastAsia="Times New Roman" w:hAnsi="Calibri" w:cs="Calibri"/>
                <w:color w:val="000000"/>
                <w:lang w:eastAsia="es-ES"/>
              </w:rPr>
              <w:br/>
              <w:t>- Al Ministerio de Defensa como contraprestación por los servicios de transporte aéreo</w:t>
            </w:r>
            <w:r w:rsidRPr="00A27E10">
              <w:rPr>
                <w:rFonts w:ascii="Calibri" w:eastAsia="Times New Roman" w:hAnsi="Calibri" w:cs="Calibri"/>
                <w:color w:val="000000"/>
                <w:lang w:eastAsia="es-ES"/>
              </w:rPr>
              <w:br/>
              <w:t>- Servicios de remolcadores por entrada y salida de buques a puertos.</w:t>
            </w:r>
          </w:p>
        </w:tc>
        <w:tc>
          <w:tcPr>
            <w:tcW w:w="3828" w:type="dxa"/>
            <w:tcBorders>
              <w:top w:val="nil"/>
              <w:left w:val="nil"/>
              <w:bottom w:val="single" w:sz="4" w:space="0" w:color="auto"/>
              <w:right w:val="single" w:sz="4" w:space="0" w:color="auto"/>
            </w:tcBorders>
            <w:shd w:val="clear" w:color="000000" w:fill="FCE4D6"/>
            <w:vAlign w:val="center"/>
            <w:hideMark/>
          </w:tcPr>
          <w:p w14:paraId="2FE1309F"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Concepto 204. Arrendamientos de medios de transporte.</w:t>
            </w:r>
            <w:r w:rsidRPr="00A27E10">
              <w:rPr>
                <w:rFonts w:ascii="Calibri" w:eastAsia="Times New Roman" w:hAnsi="Calibri" w:cs="Calibri"/>
                <w:color w:val="000000"/>
                <w:lang w:eastAsia="es-ES"/>
              </w:rPr>
              <w:br/>
              <w:t>Concepto 226 Reuniones, conferencias y cursos</w:t>
            </w:r>
            <w:r w:rsidRPr="00A27E10">
              <w:rPr>
                <w:rFonts w:ascii="Calibri" w:eastAsia="Times New Roman" w:hAnsi="Calibri" w:cs="Calibri"/>
                <w:color w:val="000000"/>
                <w:lang w:eastAsia="es-ES"/>
              </w:rPr>
              <w:br/>
              <w:t>Concepto 223 Transportes</w:t>
            </w:r>
            <w:r w:rsidRPr="00A27E10">
              <w:rPr>
                <w:rFonts w:ascii="Calibri" w:eastAsia="Times New Roman" w:hAnsi="Calibri" w:cs="Calibri"/>
                <w:color w:val="000000"/>
                <w:lang w:eastAsia="es-ES"/>
              </w:rPr>
              <w:br/>
              <w:t>Concepto 231 Locomoción</w:t>
            </w:r>
            <w:r w:rsidRPr="00A27E10">
              <w:rPr>
                <w:rFonts w:ascii="Calibri" w:eastAsia="Times New Roman" w:hAnsi="Calibri" w:cs="Calibri"/>
                <w:color w:val="000000"/>
                <w:lang w:eastAsia="es-ES"/>
              </w:rPr>
              <w:br/>
              <w:t>Concepto 232 Traslado</w:t>
            </w:r>
          </w:p>
        </w:tc>
        <w:tc>
          <w:tcPr>
            <w:tcW w:w="992" w:type="dxa"/>
            <w:tcBorders>
              <w:top w:val="nil"/>
              <w:left w:val="nil"/>
              <w:bottom w:val="single" w:sz="4" w:space="0" w:color="auto"/>
              <w:right w:val="single" w:sz="8" w:space="0" w:color="auto"/>
            </w:tcBorders>
            <w:shd w:val="clear" w:color="000000" w:fill="FCE4D6"/>
            <w:vAlign w:val="center"/>
            <w:hideMark/>
          </w:tcPr>
          <w:p w14:paraId="6D132278"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r w:rsidR="00A27E10" w:rsidRPr="00A27E10" w14:paraId="3AA5ADB2" w14:textId="77777777" w:rsidTr="006822AF">
        <w:trPr>
          <w:trHeight w:val="1024"/>
        </w:trPr>
        <w:tc>
          <w:tcPr>
            <w:tcW w:w="3256" w:type="dxa"/>
            <w:tcBorders>
              <w:top w:val="nil"/>
              <w:left w:val="single" w:sz="4" w:space="0" w:color="auto"/>
              <w:bottom w:val="single" w:sz="4" w:space="0" w:color="auto"/>
              <w:right w:val="single" w:sz="4" w:space="0" w:color="auto"/>
            </w:tcBorders>
            <w:shd w:val="clear" w:color="000000" w:fill="FCE4D6"/>
            <w:vAlign w:val="center"/>
            <w:hideMark/>
          </w:tcPr>
          <w:p w14:paraId="2E785FC2"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C3</w:t>
            </w:r>
            <w:r w:rsidRPr="00A27E10">
              <w:rPr>
                <w:rFonts w:ascii="Calibri" w:eastAsia="Times New Roman" w:hAnsi="Calibri" w:cs="Calibri"/>
                <w:bCs/>
                <w:color w:val="000000"/>
                <w:lang w:eastAsia="es-ES"/>
              </w:rPr>
              <w:t xml:space="preserve"> - Subvenciones o ayudas para gasto corriente en combustibles fósiles</w:t>
            </w:r>
          </w:p>
        </w:tc>
        <w:tc>
          <w:tcPr>
            <w:tcW w:w="6377" w:type="dxa"/>
            <w:tcBorders>
              <w:top w:val="nil"/>
              <w:left w:val="nil"/>
              <w:bottom w:val="single" w:sz="4" w:space="0" w:color="auto"/>
              <w:right w:val="single" w:sz="4" w:space="0" w:color="auto"/>
            </w:tcBorders>
            <w:shd w:val="clear" w:color="000000" w:fill="FCE4D6"/>
            <w:vAlign w:val="center"/>
            <w:hideMark/>
          </w:tcPr>
          <w:p w14:paraId="5AFE5CA8"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Transferencias corrientes cuyo objeto sea financiar el consumo de combustibles fósiles, con independencia del perceptor (familias, empresas, entidades territoriales, entidades sin fines de lucro…)</w:t>
            </w:r>
          </w:p>
        </w:tc>
        <w:tc>
          <w:tcPr>
            <w:tcW w:w="3828" w:type="dxa"/>
            <w:tcBorders>
              <w:top w:val="nil"/>
              <w:left w:val="nil"/>
              <w:bottom w:val="single" w:sz="4" w:space="0" w:color="auto"/>
              <w:right w:val="single" w:sz="4" w:space="0" w:color="auto"/>
            </w:tcBorders>
            <w:shd w:val="clear" w:color="000000" w:fill="FCE4D6"/>
            <w:vAlign w:val="center"/>
            <w:hideMark/>
          </w:tcPr>
          <w:p w14:paraId="6B35884C"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Cap. 4 Transferencias corrientes</w:t>
            </w:r>
          </w:p>
        </w:tc>
        <w:tc>
          <w:tcPr>
            <w:tcW w:w="992" w:type="dxa"/>
            <w:tcBorders>
              <w:top w:val="nil"/>
              <w:left w:val="nil"/>
              <w:bottom w:val="single" w:sz="4" w:space="0" w:color="auto"/>
              <w:right w:val="single" w:sz="8" w:space="0" w:color="auto"/>
            </w:tcBorders>
            <w:shd w:val="clear" w:color="000000" w:fill="FCE4D6"/>
            <w:vAlign w:val="center"/>
            <w:hideMark/>
          </w:tcPr>
          <w:p w14:paraId="7FBAC1B1"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r w:rsidR="00A27E10" w:rsidRPr="00A27E10" w14:paraId="2E213E4A" w14:textId="77777777" w:rsidTr="006822AF">
        <w:trPr>
          <w:trHeight w:val="1200"/>
        </w:trPr>
        <w:tc>
          <w:tcPr>
            <w:tcW w:w="3256" w:type="dxa"/>
            <w:tcBorders>
              <w:top w:val="nil"/>
              <w:left w:val="single" w:sz="4" w:space="0" w:color="auto"/>
              <w:bottom w:val="single" w:sz="4" w:space="0" w:color="auto"/>
              <w:right w:val="single" w:sz="4" w:space="0" w:color="auto"/>
            </w:tcBorders>
            <w:shd w:val="clear" w:color="000000" w:fill="FCE4D6"/>
            <w:vAlign w:val="center"/>
            <w:hideMark/>
          </w:tcPr>
          <w:p w14:paraId="01054C0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C4</w:t>
            </w:r>
            <w:r w:rsidRPr="00A27E10">
              <w:rPr>
                <w:rFonts w:ascii="Calibri" w:eastAsia="Times New Roman" w:hAnsi="Calibri" w:cs="Calibri"/>
                <w:bCs/>
                <w:color w:val="000000"/>
                <w:lang w:eastAsia="es-ES"/>
              </w:rPr>
              <w:t xml:space="preserve"> - Inversiones en vehículos de transporte terrestre contaminantes</w:t>
            </w:r>
          </w:p>
        </w:tc>
        <w:tc>
          <w:tcPr>
            <w:tcW w:w="6377" w:type="dxa"/>
            <w:tcBorders>
              <w:top w:val="nil"/>
              <w:left w:val="nil"/>
              <w:bottom w:val="single" w:sz="4" w:space="0" w:color="auto"/>
              <w:right w:val="single" w:sz="4" w:space="0" w:color="auto"/>
            </w:tcBorders>
            <w:shd w:val="clear" w:color="000000" w:fill="FCE4D6"/>
            <w:vAlign w:val="center"/>
            <w:hideMark/>
          </w:tcPr>
          <w:p w14:paraId="43424B29" w14:textId="46AA3B1B" w:rsidR="00A27E10" w:rsidRPr="00A27E10" w:rsidRDefault="00A27E10" w:rsidP="00D5253C">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Inversión nueva o de reposición en vehículos que NO sea cero emisiones (es decir, cualquier vehículo distinto de los eléctricos puros o híbridos enchufables, pila de combustible, o hidrógeno)</w:t>
            </w:r>
            <w:r w:rsidR="00D5253C">
              <w:rPr>
                <w:rFonts w:ascii="Calibri" w:eastAsia="Times New Roman" w:hAnsi="Calibri" w:cs="Calibri"/>
                <w:color w:val="000000"/>
                <w:lang w:eastAsia="es-ES"/>
              </w:rPr>
              <w:t xml:space="preserve">, salvo aquellos destinados a la extinción de incendios forestales. </w:t>
            </w:r>
          </w:p>
        </w:tc>
        <w:tc>
          <w:tcPr>
            <w:tcW w:w="3828" w:type="dxa"/>
            <w:tcBorders>
              <w:top w:val="nil"/>
              <w:left w:val="nil"/>
              <w:bottom w:val="single" w:sz="4" w:space="0" w:color="auto"/>
              <w:right w:val="single" w:sz="4" w:space="0" w:color="auto"/>
            </w:tcBorders>
            <w:shd w:val="clear" w:color="000000" w:fill="FCE4D6"/>
            <w:vAlign w:val="center"/>
            <w:hideMark/>
          </w:tcPr>
          <w:p w14:paraId="614A3A96"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Art. 62 Inversión nueva asociada al funcionamiento operativo de los servicios </w:t>
            </w:r>
            <w:r w:rsidRPr="00A27E10">
              <w:rPr>
                <w:rFonts w:ascii="Calibri" w:eastAsia="Times New Roman" w:hAnsi="Calibri" w:cs="Calibri"/>
                <w:color w:val="000000"/>
                <w:lang w:eastAsia="es-ES"/>
              </w:rPr>
              <w:br/>
              <w:t>Art. 63 Inversión de reposición asociada al funcionamiento operativo de los servicios </w:t>
            </w:r>
          </w:p>
        </w:tc>
        <w:tc>
          <w:tcPr>
            <w:tcW w:w="992" w:type="dxa"/>
            <w:tcBorders>
              <w:top w:val="nil"/>
              <w:left w:val="nil"/>
              <w:bottom w:val="single" w:sz="4" w:space="0" w:color="auto"/>
              <w:right w:val="single" w:sz="8" w:space="0" w:color="auto"/>
            </w:tcBorders>
            <w:shd w:val="clear" w:color="000000" w:fill="FCE4D6"/>
            <w:vAlign w:val="center"/>
            <w:hideMark/>
          </w:tcPr>
          <w:p w14:paraId="77B677D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r w:rsidR="00A27E10" w:rsidRPr="00A27E10" w14:paraId="76E8BAB0" w14:textId="77777777" w:rsidTr="006822AF">
        <w:trPr>
          <w:trHeight w:val="1200"/>
        </w:trPr>
        <w:tc>
          <w:tcPr>
            <w:tcW w:w="3256" w:type="dxa"/>
            <w:tcBorders>
              <w:top w:val="nil"/>
              <w:left w:val="single" w:sz="4" w:space="0" w:color="auto"/>
              <w:bottom w:val="single" w:sz="4" w:space="0" w:color="auto"/>
              <w:right w:val="single" w:sz="4" w:space="0" w:color="auto"/>
            </w:tcBorders>
            <w:shd w:val="clear" w:color="000000" w:fill="FCE4D6"/>
            <w:vAlign w:val="center"/>
            <w:hideMark/>
          </w:tcPr>
          <w:p w14:paraId="4C5F710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C5</w:t>
            </w:r>
            <w:r w:rsidRPr="00A27E10">
              <w:rPr>
                <w:rFonts w:ascii="Calibri" w:eastAsia="Times New Roman" w:hAnsi="Calibri" w:cs="Calibri"/>
                <w:bCs/>
                <w:color w:val="000000"/>
                <w:lang w:eastAsia="es-ES"/>
              </w:rPr>
              <w:t xml:space="preserve"> - Inversiones en elementos que empleen combustibles fósiles en su funcionamiento (edificios)</w:t>
            </w:r>
          </w:p>
        </w:tc>
        <w:tc>
          <w:tcPr>
            <w:tcW w:w="6377" w:type="dxa"/>
            <w:tcBorders>
              <w:top w:val="nil"/>
              <w:left w:val="nil"/>
              <w:bottom w:val="single" w:sz="4" w:space="0" w:color="auto"/>
              <w:right w:val="single" w:sz="4" w:space="0" w:color="auto"/>
            </w:tcBorders>
            <w:shd w:val="clear" w:color="000000" w:fill="FCE4D6"/>
            <w:vAlign w:val="center"/>
            <w:hideMark/>
          </w:tcPr>
          <w:p w14:paraId="047FF2B6"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Inversión nueva o de reposición en calderas de gas, generadores eléctricos o maquinaria pesada que funcionen con derivados del petróleo, carbón o gas natural.</w:t>
            </w:r>
          </w:p>
        </w:tc>
        <w:tc>
          <w:tcPr>
            <w:tcW w:w="3828" w:type="dxa"/>
            <w:tcBorders>
              <w:top w:val="nil"/>
              <w:left w:val="nil"/>
              <w:bottom w:val="single" w:sz="4" w:space="0" w:color="auto"/>
              <w:right w:val="single" w:sz="4" w:space="0" w:color="auto"/>
            </w:tcBorders>
            <w:shd w:val="clear" w:color="000000" w:fill="FCE4D6"/>
            <w:vAlign w:val="center"/>
            <w:hideMark/>
          </w:tcPr>
          <w:p w14:paraId="3B8EE970"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Art. 62 Inversión nueva asociada al funcionamiento operativo de los servicios </w:t>
            </w:r>
            <w:r w:rsidRPr="00A27E10">
              <w:rPr>
                <w:rFonts w:ascii="Calibri" w:eastAsia="Times New Roman" w:hAnsi="Calibri" w:cs="Calibri"/>
                <w:color w:val="000000"/>
                <w:lang w:eastAsia="es-ES"/>
              </w:rPr>
              <w:br/>
              <w:t>Art. 63 Inversión de reposición asociada al funcionamiento operativo de los servicios </w:t>
            </w:r>
          </w:p>
        </w:tc>
        <w:tc>
          <w:tcPr>
            <w:tcW w:w="992" w:type="dxa"/>
            <w:tcBorders>
              <w:top w:val="nil"/>
              <w:left w:val="nil"/>
              <w:bottom w:val="single" w:sz="4" w:space="0" w:color="auto"/>
              <w:right w:val="single" w:sz="8" w:space="0" w:color="auto"/>
            </w:tcBorders>
            <w:shd w:val="clear" w:color="000000" w:fill="FCE4D6"/>
            <w:vAlign w:val="center"/>
            <w:hideMark/>
          </w:tcPr>
          <w:p w14:paraId="749E45C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r w:rsidR="00A27E10" w:rsidRPr="00A27E10" w14:paraId="61989872" w14:textId="77777777" w:rsidTr="006822AF">
        <w:trPr>
          <w:trHeight w:val="5896"/>
        </w:trPr>
        <w:tc>
          <w:tcPr>
            <w:tcW w:w="3256" w:type="dxa"/>
            <w:tcBorders>
              <w:top w:val="nil"/>
              <w:left w:val="single" w:sz="4" w:space="0" w:color="auto"/>
              <w:bottom w:val="single" w:sz="4" w:space="0" w:color="auto"/>
              <w:right w:val="single" w:sz="4" w:space="0" w:color="auto"/>
            </w:tcBorders>
            <w:shd w:val="clear" w:color="000000" w:fill="FCE4D6"/>
            <w:vAlign w:val="center"/>
            <w:hideMark/>
          </w:tcPr>
          <w:p w14:paraId="594EDD75"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C6</w:t>
            </w:r>
            <w:r w:rsidRPr="00A27E10">
              <w:rPr>
                <w:rFonts w:ascii="Calibri" w:eastAsia="Times New Roman" w:hAnsi="Calibri" w:cs="Calibri"/>
                <w:bCs/>
                <w:color w:val="000000"/>
                <w:lang w:eastAsia="es-ES"/>
              </w:rPr>
              <w:t xml:space="preserve"> - Inversiones en otros elementos contaminantes (edificios)</w:t>
            </w:r>
          </w:p>
        </w:tc>
        <w:tc>
          <w:tcPr>
            <w:tcW w:w="6377" w:type="dxa"/>
            <w:tcBorders>
              <w:top w:val="nil"/>
              <w:left w:val="nil"/>
              <w:bottom w:val="single" w:sz="4" w:space="0" w:color="auto"/>
              <w:right w:val="single" w:sz="4" w:space="0" w:color="auto"/>
            </w:tcBorders>
            <w:shd w:val="clear" w:color="000000" w:fill="FCE4D6"/>
            <w:vAlign w:val="center"/>
            <w:hideMark/>
          </w:tcPr>
          <w:p w14:paraId="4192C485" w14:textId="4802161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 xml:space="preserve">Inversión nueva o de reposición en equipos de climatización y refrigeración que utilicen gases fluorados de efecto invernadero con un PCA superior a 150 (aires acondicionados, bombas de calor, </w:t>
            </w:r>
            <w:proofErr w:type="spellStart"/>
            <w:r w:rsidRPr="00A27E10">
              <w:rPr>
                <w:rFonts w:ascii="Calibri" w:eastAsia="Times New Roman" w:hAnsi="Calibri" w:cs="Calibri"/>
                <w:color w:val="000000"/>
                <w:lang w:eastAsia="es-ES"/>
              </w:rPr>
              <w:t>aparamenta</w:t>
            </w:r>
            <w:proofErr w:type="spellEnd"/>
            <w:r w:rsidRPr="00A27E10">
              <w:rPr>
                <w:rFonts w:ascii="Calibri" w:eastAsia="Times New Roman" w:hAnsi="Calibri" w:cs="Calibri"/>
                <w:color w:val="000000"/>
                <w:lang w:eastAsia="es-ES"/>
              </w:rPr>
              <w:t xml:space="preserve"> eléctrica, extinción de </w:t>
            </w:r>
            <w:r w:rsidR="00CA2E61" w:rsidRPr="00A27E10">
              <w:rPr>
                <w:rFonts w:ascii="Calibri" w:eastAsia="Times New Roman" w:hAnsi="Calibri" w:cs="Calibri"/>
                <w:color w:val="000000"/>
                <w:lang w:eastAsia="es-ES"/>
              </w:rPr>
              <w:t>incendios,</w:t>
            </w:r>
            <w:r w:rsidRPr="00A27E10">
              <w:rPr>
                <w:rFonts w:ascii="Calibri" w:eastAsia="Times New Roman" w:hAnsi="Calibri" w:cs="Calibri"/>
                <w:color w:val="000000"/>
                <w:lang w:eastAsia="es-ES"/>
              </w:rPr>
              <w:t xml:space="preserve"> usos industriales, </w:t>
            </w:r>
            <w:proofErr w:type="spellStart"/>
            <w:r w:rsidRPr="00A27E10">
              <w:rPr>
                <w:rFonts w:ascii="Calibri" w:eastAsia="Times New Roman" w:hAnsi="Calibri" w:cs="Calibri"/>
                <w:color w:val="000000"/>
                <w:lang w:eastAsia="es-ES"/>
              </w:rPr>
              <w:t>etc</w:t>
            </w:r>
            <w:proofErr w:type="spellEnd"/>
            <w:r w:rsidRPr="00A27E10">
              <w:rPr>
                <w:rFonts w:ascii="Calibri" w:eastAsia="Times New Roman" w:hAnsi="Calibri" w:cs="Calibri"/>
                <w:color w:val="000000"/>
                <w:lang w:eastAsia="es-ES"/>
              </w:rPr>
              <w:t>).</w:t>
            </w:r>
            <w:r w:rsidRPr="00A27E10">
              <w:rPr>
                <w:rFonts w:ascii="Calibri" w:eastAsia="Times New Roman" w:hAnsi="Calibri" w:cs="Calibri"/>
                <w:color w:val="000000"/>
                <w:lang w:eastAsia="es-ES"/>
              </w:rPr>
              <w:br/>
            </w:r>
            <w:r w:rsidRPr="00A27E10">
              <w:rPr>
                <w:rFonts w:ascii="Calibri" w:eastAsia="Times New Roman" w:hAnsi="Calibri" w:cs="Calibri"/>
                <w:color w:val="000000"/>
                <w:lang w:eastAsia="es-ES"/>
              </w:rPr>
              <w:br/>
              <w:t>La información sobre el gas utilizado se incluye en las especificaciones del equipo y es obligatorio que esté indicado incluso en la etiqueta en el mismo. El potencial de calentamiento a la atmósfera (PCA) para ese gas se puede consultar en los listados de los documentos siguientes:</w:t>
            </w:r>
            <w:r w:rsidRPr="00A27E10">
              <w:rPr>
                <w:rFonts w:ascii="Calibri" w:eastAsia="Times New Roman" w:hAnsi="Calibri" w:cs="Calibri"/>
                <w:color w:val="000000"/>
                <w:lang w:eastAsia="es-ES"/>
              </w:rPr>
              <w:br/>
              <w:t xml:space="preserve"> </w:t>
            </w:r>
            <w:r w:rsidRPr="00A27E10">
              <w:rPr>
                <w:rFonts w:ascii="Calibri" w:eastAsia="Times New Roman" w:hAnsi="Calibri" w:cs="Calibri"/>
                <w:color w:val="000000"/>
                <w:lang w:eastAsia="es-ES"/>
              </w:rPr>
              <w:br/>
              <w:t>Anexo I del Reglamento 517/2014:</w:t>
            </w:r>
            <w:r w:rsidRPr="00A27E10">
              <w:rPr>
                <w:rFonts w:ascii="Calibri" w:eastAsia="Times New Roman" w:hAnsi="Calibri" w:cs="Calibri"/>
                <w:color w:val="000000"/>
                <w:lang w:eastAsia="es-ES"/>
              </w:rPr>
              <w:br/>
              <w:t xml:space="preserve">https://www.boe.es/doue/2014/150/L00195-00230.pdf  </w:t>
            </w:r>
            <w:r w:rsidRPr="00A27E10">
              <w:rPr>
                <w:rFonts w:ascii="Calibri" w:eastAsia="Times New Roman" w:hAnsi="Calibri" w:cs="Calibri"/>
                <w:color w:val="000000"/>
                <w:lang w:eastAsia="es-ES"/>
              </w:rPr>
              <w:br/>
              <w:t xml:space="preserve">Factores de emisión del Registro de huella: </w:t>
            </w:r>
            <w:r w:rsidRPr="00A27E10">
              <w:rPr>
                <w:rFonts w:ascii="Calibri" w:eastAsia="Times New Roman" w:hAnsi="Calibri" w:cs="Calibri"/>
                <w:color w:val="000000"/>
                <w:lang w:eastAsia="es-ES"/>
              </w:rPr>
              <w:br/>
              <w:t>https://www.miteco.gob.es/es/cambio-climatico/temas/mitigacion-politicas-y-medidas/factoresemision_tcm30-479095.pdf</w:t>
            </w:r>
            <w:r w:rsidRPr="00A27E10">
              <w:rPr>
                <w:rFonts w:ascii="Calibri" w:eastAsia="Times New Roman" w:hAnsi="Calibri" w:cs="Calibri"/>
                <w:color w:val="000000"/>
                <w:lang w:eastAsia="es-ES"/>
              </w:rPr>
              <w:br/>
              <w:t>https://www.miteco.gob.es/es/cambio-climatico/temas/mitigacion-politicas-y-medidas/factoresemision_tcm30-542746.xlsx</w:t>
            </w:r>
          </w:p>
        </w:tc>
        <w:tc>
          <w:tcPr>
            <w:tcW w:w="3828" w:type="dxa"/>
            <w:tcBorders>
              <w:top w:val="nil"/>
              <w:left w:val="nil"/>
              <w:bottom w:val="single" w:sz="4" w:space="0" w:color="auto"/>
              <w:right w:val="single" w:sz="4" w:space="0" w:color="auto"/>
            </w:tcBorders>
            <w:shd w:val="clear" w:color="000000" w:fill="FCE4D6"/>
            <w:vAlign w:val="center"/>
            <w:hideMark/>
          </w:tcPr>
          <w:p w14:paraId="3689F530"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Art. 62 Inversión nueva asociada al funcionamiento operativo de los servicios </w:t>
            </w:r>
            <w:r w:rsidRPr="00A27E10">
              <w:rPr>
                <w:rFonts w:ascii="Calibri" w:eastAsia="Times New Roman" w:hAnsi="Calibri" w:cs="Calibri"/>
                <w:color w:val="000000"/>
                <w:lang w:eastAsia="es-ES"/>
              </w:rPr>
              <w:br/>
              <w:t>Art. 63 Inversión de reposición asociada al funcionamiento operativo de los servicios </w:t>
            </w:r>
          </w:p>
        </w:tc>
        <w:tc>
          <w:tcPr>
            <w:tcW w:w="992" w:type="dxa"/>
            <w:tcBorders>
              <w:top w:val="nil"/>
              <w:left w:val="nil"/>
              <w:bottom w:val="single" w:sz="4" w:space="0" w:color="auto"/>
              <w:right w:val="single" w:sz="8" w:space="0" w:color="auto"/>
            </w:tcBorders>
            <w:shd w:val="clear" w:color="000000" w:fill="FCE4D6"/>
            <w:vAlign w:val="center"/>
            <w:hideMark/>
          </w:tcPr>
          <w:p w14:paraId="6590083A"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r w:rsidR="00A27E10" w:rsidRPr="00A27E10" w14:paraId="1F6062D7" w14:textId="77777777" w:rsidTr="006822AF">
        <w:trPr>
          <w:trHeight w:val="1490"/>
        </w:trPr>
        <w:tc>
          <w:tcPr>
            <w:tcW w:w="3256" w:type="dxa"/>
            <w:tcBorders>
              <w:top w:val="nil"/>
              <w:left w:val="single" w:sz="4" w:space="0" w:color="auto"/>
              <w:bottom w:val="single" w:sz="8" w:space="0" w:color="auto"/>
              <w:right w:val="single" w:sz="4" w:space="0" w:color="auto"/>
            </w:tcBorders>
            <w:shd w:val="clear" w:color="000000" w:fill="FCE4D6"/>
            <w:vAlign w:val="center"/>
            <w:hideMark/>
          </w:tcPr>
          <w:p w14:paraId="361D4586"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C7</w:t>
            </w:r>
            <w:r w:rsidRPr="00A27E10">
              <w:rPr>
                <w:rFonts w:ascii="Calibri" w:eastAsia="Times New Roman" w:hAnsi="Calibri" w:cs="Calibri"/>
                <w:bCs/>
                <w:color w:val="000000"/>
                <w:lang w:eastAsia="es-ES"/>
              </w:rPr>
              <w:t xml:space="preserve"> - Subvenciones o ayudas para inversiones en elementos contaminantes</w:t>
            </w:r>
          </w:p>
        </w:tc>
        <w:tc>
          <w:tcPr>
            <w:tcW w:w="6377" w:type="dxa"/>
            <w:tcBorders>
              <w:top w:val="nil"/>
              <w:left w:val="nil"/>
              <w:bottom w:val="single" w:sz="8" w:space="0" w:color="auto"/>
              <w:right w:val="single" w:sz="4" w:space="0" w:color="auto"/>
            </w:tcBorders>
            <w:shd w:val="clear" w:color="000000" w:fill="FCE4D6"/>
            <w:vAlign w:val="center"/>
            <w:hideMark/>
          </w:tcPr>
          <w:p w14:paraId="1C01060A"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Transferencias de capital para financiar las anteriores inversiones basadas en combustibles fósiles u otros elementos contaminantes, con independencia del perceptor (familias, empresas, entidades territoriales, entidades sin fines de lucro…)</w:t>
            </w:r>
          </w:p>
        </w:tc>
        <w:tc>
          <w:tcPr>
            <w:tcW w:w="3828" w:type="dxa"/>
            <w:tcBorders>
              <w:top w:val="nil"/>
              <w:left w:val="nil"/>
              <w:bottom w:val="single" w:sz="8" w:space="0" w:color="auto"/>
              <w:right w:val="single" w:sz="4" w:space="0" w:color="auto"/>
            </w:tcBorders>
            <w:shd w:val="clear" w:color="000000" w:fill="FCE4D6"/>
            <w:vAlign w:val="center"/>
            <w:hideMark/>
          </w:tcPr>
          <w:p w14:paraId="6E5177BC"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Cap. 7 Transferencias de capital</w:t>
            </w:r>
            <w:r w:rsidRPr="00A27E10">
              <w:rPr>
                <w:rFonts w:ascii="Calibri" w:eastAsia="Times New Roman" w:hAnsi="Calibri" w:cs="Calibri"/>
                <w:color w:val="000000"/>
                <w:lang w:eastAsia="es-ES"/>
              </w:rPr>
              <w:br/>
              <w:t>Cap. 8 Activos Financieros</w:t>
            </w:r>
          </w:p>
        </w:tc>
        <w:tc>
          <w:tcPr>
            <w:tcW w:w="992" w:type="dxa"/>
            <w:tcBorders>
              <w:top w:val="nil"/>
              <w:left w:val="nil"/>
              <w:bottom w:val="single" w:sz="8" w:space="0" w:color="auto"/>
              <w:right w:val="single" w:sz="8" w:space="0" w:color="auto"/>
            </w:tcBorders>
            <w:shd w:val="clear" w:color="000000" w:fill="FCE4D6"/>
            <w:vAlign w:val="center"/>
            <w:hideMark/>
          </w:tcPr>
          <w:p w14:paraId="466B59CA"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bl>
    <w:p w14:paraId="4FBC9E62" w14:textId="77777777" w:rsidR="00A27E10" w:rsidRPr="00A27E10" w:rsidRDefault="00A27E10" w:rsidP="00A27E10"/>
    <w:p w14:paraId="1214EBFF" w14:textId="77777777" w:rsidR="00A27E10" w:rsidRPr="00A27E10" w:rsidRDefault="00A27E10" w:rsidP="00A27E10"/>
    <w:p w14:paraId="47AE59AC" w14:textId="77777777" w:rsidR="00A27E10" w:rsidRPr="00A27E10" w:rsidRDefault="00A27E10" w:rsidP="00A27E10">
      <w:pPr>
        <w:rPr>
          <w:b/>
          <w:sz w:val="28"/>
          <w:u w:val="single"/>
        </w:rPr>
      </w:pPr>
      <w:r w:rsidRPr="00A27E10">
        <w:rPr>
          <w:b/>
          <w:sz w:val="28"/>
          <w:u w:val="single"/>
        </w:rPr>
        <w:t xml:space="preserve">Gastos específicos </w:t>
      </w:r>
    </w:p>
    <w:tbl>
      <w:tblPr>
        <w:tblW w:w="14454" w:type="dxa"/>
        <w:tblCellMar>
          <w:left w:w="70" w:type="dxa"/>
          <w:right w:w="70" w:type="dxa"/>
        </w:tblCellMar>
        <w:tblLook w:val="04A0" w:firstRow="1" w:lastRow="0" w:firstColumn="1" w:lastColumn="0" w:noHBand="0" w:noVBand="1"/>
      </w:tblPr>
      <w:tblGrid>
        <w:gridCol w:w="3397"/>
        <w:gridCol w:w="6379"/>
        <w:gridCol w:w="3742"/>
        <w:gridCol w:w="936"/>
      </w:tblGrid>
      <w:tr w:rsidR="00A27E10" w:rsidRPr="00A27E10" w14:paraId="4664B32D" w14:textId="77777777" w:rsidTr="006822AF">
        <w:trPr>
          <w:trHeight w:val="480"/>
          <w:tblHeader/>
        </w:trPr>
        <w:tc>
          <w:tcPr>
            <w:tcW w:w="3397" w:type="dxa"/>
            <w:tcBorders>
              <w:top w:val="single" w:sz="4" w:space="0" w:color="auto"/>
              <w:left w:val="single" w:sz="4" w:space="0" w:color="auto"/>
              <w:bottom w:val="nil"/>
              <w:right w:val="single" w:sz="4" w:space="0" w:color="auto"/>
            </w:tcBorders>
            <w:shd w:val="clear" w:color="000000" w:fill="C00000"/>
            <w:vAlign w:val="center"/>
            <w:hideMark/>
          </w:tcPr>
          <w:p w14:paraId="06B2F2A1"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Gasto</w:t>
            </w:r>
          </w:p>
        </w:tc>
        <w:tc>
          <w:tcPr>
            <w:tcW w:w="6379" w:type="dxa"/>
            <w:tcBorders>
              <w:top w:val="single" w:sz="4" w:space="0" w:color="auto"/>
              <w:left w:val="nil"/>
              <w:bottom w:val="nil"/>
              <w:right w:val="single" w:sz="4" w:space="0" w:color="auto"/>
            </w:tcBorders>
            <w:shd w:val="clear" w:color="000000" w:fill="C00000"/>
            <w:vAlign w:val="center"/>
            <w:hideMark/>
          </w:tcPr>
          <w:p w14:paraId="1A12C77C"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Explicación</w:t>
            </w:r>
          </w:p>
        </w:tc>
        <w:tc>
          <w:tcPr>
            <w:tcW w:w="3742" w:type="dxa"/>
            <w:tcBorders>
              <w:top w:val="single" w:sz="4" w:space="0" w:color="auto"/>
              <w:left w:val="nil"/>
              <w:bottom w:val="nil"/>
              <w:right w:val="single" w:sz="4" w:space="0" w:color="auto"/>
            </w:tcBorders>
            <w:shd w:val="clear" w:color="000000" w:fill="C00000"/>
            <w:vAlign w:val="center"/>
            <w:hideMark/>
          </w:tcPr>
          <w:p w14:paraId="5D7B8DFA"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¿Dónde los vamos a encontrar?</w:t>
            </w:r>
          </w:p>
        </w:tc>
        <w:tc>
          <w:tcPr>
            <w:tcW w:w="936" w:type="dxa"/>
            <w:tcBorders>
              <w:top w:val="single" w:sz="4" w:space="0" w:color="auto"/>
              <w:left w:val="nil"/>
              <w:bottom w:val="nil"/>
              <w:right w:val="single" w:sz="4" w:space="0" w:color="auto"/>
            </w:tcBorders>
            <w:shd w:val="clear" w:color="000000" w:fill="C00000"/>
            <w:vAlign w:val="center"/>
            <w:hideMark/>
          </w:tcPr>
          <w:p w14:paraId="680296EB"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Sección</w:t>
            </w:r>
          </w:p>
        </w:tc>
      </w:tr>
      <w:tr w:rsidR="00A27E10" w:rsidRPr="00A27E10" w14:paraId="2E11A517" w14:textId="77777777" w:rsidTr="006822AF">
        <w:trPr>
          <w:trHeight w:val="2700"/>
        </w:trPr>
        <w:tc>
          <w:tcPr>
            <w:tcW w:w="3397" w:type="dxa"/>
            <w:tcBorders>
              <w:top w:val="single" w:sz="8" w:space="0" w:color="auto"/>
              <w:left w:val="single" w:sz="4" w:space="0" w:color="auto"/>
              <w:bottom w:val="single" w:sz="4" w:space="0" w:color="auto"/>
              <w:right w:val="single" w:sz="4" w:space="0" w:color="auto"/>
            </w:tcBorders>
            <w:shd w:val="clear" w:color="000000" w:fill="FFF2CC"/>
            <w:vAlign w:val="center"/>
            <w:hideMark/>
          </w:tcPr>
          <w:p w14:paraId="203A9E3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w:t>
            </w:r>
            <w:r w:rsidRPr="00A27E10">
              <w:rPr>
                <w:rFonts w:ascii="Calibri" w:eastAsia="Times New Roman" w:hAnsi="Calibri" w:cs="Calibri"/>
                <w:bCs/>
                <w:color w:val="000000"/>
                <w:lang w:eastAsia="es-ES"/>
              </w:rPr>
              <w:t xml:space="preserve"> - Gasto en vehículos de transporte aéreo</w:t>
            </w:r>
          </w:p>
        </w:tc>
        <w:tc>
          <w:tcPr>
            <w:tcW w:w="6379" w:type="dxa"/>
            <w:tcBorders>
              <w:top w:val="single" w:sz="8" w:space="0" w:color="auto"/>
              <w:left w:val="nil"/>
              <w:bottom w:val="single" w:sz="4" w:space="0" w:color="auto"/>
              <w:right w:val="single" w:sz="4" w:space="0" w:color="auto"/>
            </w:tcBorders>
            <w:shd w:val="clear" w:color="000000" w:fill="FFF2CC"/>
            <w:vAlign w:val="center"/>
            <w:hideMark/>
          </w:tcPr>
          <w:p w14:paraId="68505696" w14:textId="7C84BE55" w:rsidR="007B3E16"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Se incluyen las inversiones/transferencias/aportaciones para la adquisición o mantenimiento de vehículos de transporte aéreo</w:t>
            </w:r>
            <w:r w:rsidR="007B3E16">
              <w:rPr>
                <w:rFonts w:ascii="Calibri" w:eastAsia="Times New Roman" w:hAnsi="Calibri" w:cs="Calibri"/>
                <w:lang w:eastAsia="es-ES"/>
              </w:rPr>
              <w:t>, salvo aquellos destinados a la extinción de incendios forestales</w:t>
            </w:r>
            <w:r w:rsidRPr="00A27E10">
              <w:rPr>
                <w:rFonts w:ascii="Calibri" w:eastAsia="Times New Roman" w:hAnsi="Calibri" w:cs="Calibri"/>
                <w:lang w:eastAsia="es-ES"/>
              </w:rPr>
              <w:t xml:space="preserve">. </w:t>
            </w:r>
          </w:p>
          <w:p w14:paraId="03D467CB" w14:textId="536D8D63" w:rsidR="00A27E10" w:rsidRPr="00A27E10" w:rsidRDefault="00A27E10" w:rsidP="007B3E16">
            <w:pPr>
              <w:spacing w:after="0" w:line="240" w:lineRule="auto"/>
              <w:rPr>
                <w:rFonts w:ascii="Calibri" w:eastAsia="Times New Roman" w:hAnsi="Calibri" w:cs="Calibri"/>
                <w:lang w:eastAsia="es-ES"/>
              </w:rPr>
            </w:pPr>
            <w:r w:rsidRPr="00A27E10">
              <w:rPr>
                <w:rFonts w:ascii="Calibri" w:eastAsia="Times New Roman" w:hAnsi="Calibri" w:cs="Calibri"/>
                <w:lang w:eastAsia="es-ES"/>
              </w:rPr>
              <w:t xml:space="preserve">No se </w:t>
            </w:r>
            <w:r w:rsidR="007B3E16">
              <w:rPr>
                <w:rFonts w:ascii="Calibri" w:eastAsia="Times New Roman" w:hAnsi="Calibri" w:cs="Calibri"/>
                <w:lang w:eastAsia="es-ES"/>
              </w:rPr>
              <w:t>incluirá</w:t>
            </w:r>
            <w:r w:rsidRPr="00A27E10">
              <w:rPr>
                <w:rFonts w:ascii="Calibri" w:eastAsia="Times New Roman" w:hAnsi="Calibri" w:cs="Calibri"/>
                <w:lang w:eastAsia="es-ES"/>
              </w:rPr>
              <w:t xml:space="preserve"> aquí el consumo de combustibles fósiles para estos vehículos, que deberá registrarse en el C1 "Consumo de combustibles fósiles para edificios y transporte".</w:t>
            </w:r>
          </w:p>
        </w:tc>
        <w:tc>
          <w:tcPr>
            <w:tcW w:w="3742" w:type="dxa"/>
            <w:tcBorders>
              <w:top w:val="single" w:sz="8" w:space="0" w:color="auto"/>
              <w:left w:val="nil"/>
              <w:bottom w:val="single" w:sz="4" w:space="0" w:color="auto"/>
              <w:right w:val="single" w:sz="4" w:space="0" w:color="auto"/>
            </w:tcBorders>
            <w:shd w:val="clear" w:color="000000" w:fill="FFF2CC"/>
            <w:vAlign w:val="center"/>
            <w:hideMark/>
          </w:tcPr>
          <w:p w14:paraId="069E98FD"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Art. 62 Inversión nueva asociada al funcionamiento operativo de los servicios </w:t>
            </w:r>
            <w:r w:rsidRPr="00A27E10">
              <w:rPr>
                <w:rFonts w:ascii="Calibri" w:eastAsia="Times New Roman" w:hAnsi="Calibri" w:cs="Calibri"/>
                <w:color w:val="000000"/>
                <w:lang w:eastAsia="es-ES"/>
              </w:rPr>
              <w:br/>
              <w:t>Art. 63 Inversión de reposición asociada al funcionamiento operativo de los servicios </w:t>
            </w:r>
            <w:r w:rsidRPr="00A27E10">
              <w:rPr>
                <w:rFonts w:ascii="Calibri" w:eastAsia="Times New Roman" w:hAnsi="Calibri" w:cs="Calibri"/>
                <w:color w:val="000000"/>
                <w:lang w:eastAsia="es-ES"/>
              </w:rPr>
              <w:br/>
              <w:t xml:space="preserve">Art. 65. Inversiones militares en infraestructura y otros bienes. </w:t>
            </w:r>
            <w:r w:rsidRPr="00A27E10">
              <w:rPr>
                <w:rFonts w:ascii="Calibri" w:eastAsia="Times New Roman" w:hAnsi="Calibri" w:cs="Calibri"/>
                <w:color w:val="000000"/>
                <w:lang w:eastAsia="es-ES"/>
              </w:rPr>
              <w:br/>
              <w:t>Art. 66. Inversiones militares asociadas al funcionamiento de los servicios.</w:t>
            </w:r>
            <w:r w:rsidRPr="00A27E10">
              <w:rPr>
                <w:rFonts w:ascii="Calibri" w:eastAsia="Times New Roman" w:hAnsi="Calibri" w:cs="Calibri"/>
                <w:color w:val="000000"/>
                <w:lang w:eastAsia="es-ES"/>
              </w:rPr>
              <w:br/>
              <w:t>Cap. 7 Transferencias de capital</w:t>
            </w:r>
            <w:r w:rsidRPr="00A27E10">
              <w:rPr>
                <w:rFonts w:ascii="Calibri" w:eastAsia="Times New Roman" w:hAnsi="Calibri" w:cs="Calibri"/>
                <w:color w:val="000000"/>
                <w:lang w:eastAsia="es-ES"/>
              </w:rPr>
              <w:br/>
              <w:t>Cap. 8 Activos Financieros</w:t>
            </w:r>
          </w:p>
        </w:tc>
        <w:tc>
          <w:tcPr>
            <w:tcW w:w="936" w:type="dxa"/>
            <w:tcBorders>
              <w:top w:val="single" w:sz="4" w:space="0" w:color="auto"/>
              <w:left w:val="nil"/>
              <w:bottom w:val="single" w:sz="4" w:space="0" w:color="auto"/>
              <w:right w:val="single" w:sz="8" w:space="0" w:color="auto"/>
            </w:tcBorders>
            <w:shd w:val="clear" w:color="000000" w:fill="FFF2CC"/>
            <w:vAlign w:val="center"/>
            <w:hideMark/>
          </w:tcPr>
          <w:p w14:paraId="0D5FC4E8" w14:textId="0D34FF94"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14, 15, 16, 17, 20, 23</w:t>
            </w:r>
            <w:r w:rsidR="00602B62">
              <w:rPr>
                <w:rFonts w:ascii="Calibri" w:eastAsia="Times New Roman" w:hAnsi="Calibri" w:cs="Calibri"/>
                <w:lang w:eastAsia="es-ES"/>
              </w:rPr>
              <w:t>, 25</w:t>
            </w:r>
          </w:p>
        </w:tc>
      </w:tr>
      <w:tr w:rsidR="00A27E10" w:rsidRPr="00A27E10" w14:paraId="52292CEF" w14:textId="77777777" w:rsidTr="006822AF">
        <w:trPr>
          <w:trHeight w:val="27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75F72EA8"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E2</w:t>
            </w:r>
            <w:r w:rsidRPr="00A27E10">
              <w:rPr>
                <w:rFonts w:ascii="Calibri" w:eastAsia="Times New Roman" w:hAnsi="Calibri" w:cs="Calibri"/>
                <w:bCs/>
                <w:color w:val="000000"/>
                <w:lang w:eastAsia="es-ES"/>
              </w:rPr>
              <w:t xml:space="preserve"> - Gasto en vehículos de transporte marítimo</w:t>
            </w:r>
          </w:p>
        </w:tc>
        <w:tc>
          <w:tcPr>
            <w:tcW w:w="6379" w:type="dxa"/>
            <w:tcBorders>
              <w:top w:val="nil"/>
              <w:left w:val="nil"/>
              <w:bottom w:val="single" w:sz="4" w:space="0" w:color="auto"/>
              <w:right w:val="single" w:sz="4" w:space="0" w:color="auto"/>
            </w:tcBorders>
            <w:shd w:val="clear" w:color="000000" w:fill="FFF2CC"/>
            <w:vAlign w:val="center"/>
            <w:hideMark/>
          </w:tcPr>
          <w:p w14:paraId="26C5D1ED"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Se incluyen las inversiones/transferencias/aportaciones para la adquisición o mantenimiento de vehículos de transporte marítimo. No se incluye aquí el consumo de combustibles fósiles para estos vehículos, que deberá registrarse en el C1 "Consumo de combustibles fósiles para edificios y transporte".</w:t>
            </w:r>
          </w:p>
        </w:tc>
        <w:tc>
          <w:tcPr>
            <w:tcW w:w="3742" w:type="dxa"/>
            <w:tcBorders>
              <w:top w:val="nil"/>
              <w:left w:val="nil"/>
              <w:bottom w:val="single" w:sz="4" w:space="0" w:color="auto"/>
              <w:right w:val="single" w:sz="4" w:space="0" w:color="auto"/>
            </w:tcBorders>
            <w:shd w:val="clear" w:color="000000" w:fill="FFF2CC"/>
            <w:vAlign w:val="center"/>
            <w:hideMark/>
          </w:tcPr>
          <w:p w14:paraId="0E134459"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Art. 62 Inversión nueva asociada al funcionamiento operativo de los servicios </w:t>
            </w:r>
            <w:r w:rsidRPr="00A27E10">
              <w:rPr>
                <w:rFonts w:ascii="Calibri" w:eastAsia="Times New Roman" w:hAnsi="Calibri" w:cs="Calibri"/>
                <w:color w:val="000000"/>
                <w:lang w:eastAsia="es-ES"/>
              </w:rPr>
              <w:br/>
              <w:t>Art. 63 Inversión de reposición asociada al funcionamiento operativo de los servicios </w:t>
            </w:r>
            <w:r w:rsidRPr="00A27E10">
              <w:rPr>
                <w:rFonts w:ascii="Calibri" w:eastAsia="Times New Roman" w:hAnsi="Calibri" w:cs="Calibri"/>
                <w:color w:val="000000"/>
                <w:lang w:eastAsia="es-ES"/>
              </w:rPr>
              <w:br/>
              <w:t xml:space="preserve">Art. 65. Inversiones militares en infraestructura y otros bienes. </w:t>
            </w:r>
            <w:r w:rsidRPr="00A27E10">
              <w:rPr>
                <w:rFonts w:ascii="Calibri" w:eastAsia="Times New Roman" w:hAnsi="Calibri" w:cs="Calibri"/>
                <w:color w:val="000000"/>
                <w:lang w:eastAsia="es-ES"/>
              </w:rPr>
              <w:br/>
              <w:t>Art. 66. Inversiones militares asociadas al funcionamiento de los servicios.</w:t>
            </w:r>
            <w:r w:rsidRPr="00A27E10">
              <w:rPr>
                <w:rFonts w:ascii="Calibri" w:eastAsia="Times New Roman" w:hAnsi="Calibri" w:cs="Calibri"/>
                <w:color w:val="000000"/>
                <w:lang w:eastAsia="es-ES"/>
              </w:rPr>
              <w:br/>
              <w:t>Cap. 7 Transferencias de capital</w:t>
            </w:r>
            <w:r w:rsidRPr="00A27E10">
              <w:rPr>
                <w:rFonts w:ascii="Calibri" w:eastAsia="Times New Roman" w:hAnsi="Calibri" w:cs="Calibri"/>
                <w:color w:val="000000"/>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1431B63E" w14:textId="7707FCD4"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14, 15, 16, 17, 20, 21,</w:t>
            </w:r>
            <w:r w:rsidR="00602B62">
              <w:rPr>
                <w:rFonts w:ascii="Calibri" w:eastAsia="Times New Roman" w:hAnsi="Calibri" w:cs="Calibri"/>
                <w:lang w:eastAsia="es-ES"/>
              </w:rPr>
              <w:t xml:space="preserve"> 25,</w:t>
            </w:r>
            <w:r w:rsidRPr="00A27E10">
              <w:rPr>
                <w:rFonts w:ascii="Calibri" w:eastAsia="Times New Roman" w:hAnsi="Calibri" w:cs="Calibri"/>
                <w:lang w:eastAsia="es-ES"/>
              </w:rPr>
              <w:t xml:space="preserve"> 28</w:t>
            </w:r>
          </w:p>
        </w:tc>
      </w:tr>
      <w:tr w:rsidR="00A27E10" w:rsidRPr="00A27E10" w14:paraId="1047B19B"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10ADA073"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w:t>
            </w:r>
            <w:r w:rsidRPr="00A27E10">
              <w:rPr>
                <w:rFonts w:ascii="Calibri" w:eastAsia="Times New Roman" w:hAnsi="Calibri" w:cs="Calibri"/>
                <w:bCs/>
                <w:color w:val="000000"/>
                <w:lang w:eastAsia="es-ES"/>
              </w:rPr>
              <w:t xml:space="preserve"> -  I+D para operaciones de navegación aérea o marítima sin propósito de mejora medioambiental</w:t>
            </w:r>
          </w:p>
        </w:tc>
        <w:tc>
          <w:tcPr>
            <w:tcW w:w="6379" w:type="dxa"/>
            <w:tcBorders>
              <w:top w:val="nil"/>
              <w:left w:val="nil"/>
              <w:bottom w:val="single" w:sz="4" w:space="0" w:color="auto"/>
              <w:right w:val="single" w:sz="4" w:space="0" w:color="auto"/>
            </w:tcBorders>
            <w:shd w:val="clear" w:color="000000" w:fill="FFF2CC"/>
            <w:vAlign w:val="center"/>
            <w:hideMark/>
          </w:tcPr>
          <w:p w14:paraId="6FF10429"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0C39956E"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Art. 64. Gastos de inversiones de carácter inmaterial.</w:t>
            </w:r>
            <w:r w:rsidRPr="00A27E10">
              <w:rPr>
                <w:rFonts w:ascii="Calibri" w:eastAsia="Times New Roman" w:hAnsi="Calibri" w:cs="Calibri"/>
                <w:color w:val="000000"/>
                <w:lang w:eastAsia="es-ES"/>
              </w:rPr>
              <w:br/>
              <w:t>Art. 67. Gastos militares de inversiones de carácter inmaterial.</w:t>
            </w:r>
            <w:r w:rsidRPr="00A27E10">
              <w:rPr>
                <w:rFonts w:ascii="Calibri" w:eastAsia="Times New Roman" w:hAnsi="Calibri" w:cs="Calibri"/>
                <w:color w:val="000000"/>
                <w:lang w:eastAsia="es-ES"/>
              </w:rPr>
              <w:br/>
              <w:t>Cap. 7 Transferencias de capital</w:t>
            </w:r>
            <w:r w:rsidRPr="00A27E10">
              <w:rPr>
                <w:rFonts w:ascii="Calibri" w:eastAsia="Times New Roman" w:hAnsi="Calibri" w:cs="Calibri"/>
                <w:color w:val="000000"/>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18264C3E" w14:textId="20F3DBD3" w:rsidR="00A27E10" w:rsidRPr="00A27E10" w:rsidRDefault="006B62E3" w:rsidP="00A27E1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14, 16, 17, 20, 21, 23, </w:t>
            </w:r>
            <w:r w:rsidR="00602B62">
              <w:rPr>
                <w:rFonts w:ascii="Calibri" w:eastAsia="Times New Roman" w:hAnsi="Calibri" w:cs="Calibri"/>
                <w:color w:val="000000"/>
                <w:lang w:eastAsia="es-ES"/>
              </w:rPr>
              <w:t>25</w:t>
            </w:r>
          </w:p>
        </w:tc>
      </w:tr>
      <w:tr w:rsidR="00A27E10" w:rsidRPr="00A27E10" w14:paraId="4691DA89"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9753AF0"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w:t>
            </w:r>
            <w:r w:rsidRPr="00A27E10">
              <w:rPr>
                <w:rFonts w:ascii="Calibri" w:eastAsia="Times New Roman" w:hAnsi="Calibri" w:cs="Calibri"/>
                <w:bCs/>
                <w:color w:val="000000"/>
                <w:lang w:eastAsia="es-ES"/>
              </w:rPr>
              <w:t xml:space="preserve"> - Ayudas a combustibles fósiles para agricultura, ganadería y horticultura</w:t>
            </w:r>
          </w:p>
        </w:tc>
        <w:tc>
          <w:tcPr>
            <w:tcW w:w="6379" w:type="dxa"/>
            <w:tcBorders>
              <w:top w:val="nil"/>
              <w:left w:val="nil"/>
              <w:bottom w:val="single" w:sz="4" w:space="0" w:color="auto"/>
              <w:right w:val="single" w:sz="4" w:space="0" w:color="auto"/>
            </w:tcBorders>
            <w:shd w:val="clear" w:color="000000" w:fill="FFF2CC"/>
            <w:vAlign w:val="center"/>
            <w:hideMark/>
          </w:tcPr>
          <w:p w14:paraId="1162C270"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Ayudas específicas al sector para consumo de estos combustibles</w:t>
            </w:r>
          </w:p>
        </w:tc>
        <w:tc>
          <w:tcPr>
            <w:tcW w:w="3742" w:type="dxa"/>
            <w:tcBorders>
              <w:top w:val="nil"/>
              <w:left w:val="nil"/>
              <w:bottom w:val="single" w:sz="4" w:space="0" w:color="auto"/>
              <w:right w:val="single" w:sz="4" w:space="0" w:color="auto"/>
            </w:tcBorders>
            <w:shd w:val="clear" w:color="000000" w:fill="FFF2CC"/>
            <w:vAlign w:val="center"/>
            <w:hideMark/>
          </w:tcPr>
          <w:p w14:paraId="14C9ED79"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p>
        </w:tc>
        <w:tc>
          <w:tcPr>
            <w:tcW w:w="936" w:type="dxa"/>
            <w:tcBorders>
              <w:top w:val="nil"/>
              <w:left w:val="nil"/>
              <w:bottom w:val="single" w:sz="4" w:space="0" w:color="auto"/>
              <w:right w:val="single" w:sz="8" w:space="0" w:color="auto"/>
            </w:tcBorders>
            <w:shd w:val="clear" w:color="000000" w:fill="FFF2CC"/>
            <w:vAlign w:val="center"/>
            <w:hideMark/>
          </w:tcPr>
          <w:p w14:paraId="21A809EF"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w:t>
            </w:r>
          </w:p>
        </w:tc>
      </w:tr>
      <w:tr w:rsidR="00A27E10" w:rsidRPr="00A27E10" w14:paraId="2D5DF9C6"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47982E6"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E5</w:t>
            </w:r>
            <w:r w:rsidRPr="00A27E10">
              <w:rPr>
                <w:rFonts w:ascii="Calibri" w:eastAsia="Times New Roman" w:hAnsi="Calibri" w:cs="Calibri"/>
                <w:bCs/>
                <w:color w:val="000000"/>
                <w:lang w:eastAsia="es-ES"/>
              </w:rPr>
              <w:t xml:space="preserve"> - Ayudas a hidrocarburos usados en la maquinaria agrícola</w:t>
            </w:r>
          </w:p>
        </w:tc>
        <w:tc>
          <w:tcPr>
            <w:tcW w:w="6379" w:type="dxa"/>
            <w:tcBorders>
              <w:top w:val="nil"/>
              <w:left w:val="nil"/>
              <w:bottom w:val="single" w:sz="4" w:space="0" w:color="auto"/>
              <w:right w:val="single" w:sz="4" w:space="0" w:color="auto"/>
            </w:tcBorders>
            <w:shd w:val="clear" w:color="000000" w:fill="FFF2CC"/>
            <w:vAlign w:val="center"/>
            <w:hideMark/>
          </w:tcPr>
          <w:p w14:paraId="249F962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195160BE"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p>
        </w:tc>
        <w:tc>
          <w:tcPr>
            <w:tcW w:w="936" w:type="dxa"/>
            <w:tcBorders>
              <w:top w:val="nil"/>
              <w:left w:val="nil"/>
              <w:bottom w:val="single" w:sz="4" w:space="0" w:color="auto"/>
              <w:right w:val="single" w:sz="8" w:space="0" w:color="auto"/>
            </w:tcBorders>
            <w:shd w:val="clear" w:color="000000" w:fill="FFF2CC"/>
            <w:vAlign w:val="center"/>
            <w:hideMark/>
          </w:tcPr>
          <w:p w14:paraId="61F9206E"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w:t>
            </w:r>
          </w:p>
        </w:tc>
      </w:tr>
      <w:tr w:rsidR="00A27E10" w:rsidRPr="00A27E10" w14:paraId="795CE9D4" w14:textId="77777777" w:rsidTr="006822AF">
        <w:trPr>
          <w:trHeight w:val="1815"/>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0943E44B" w14:textId="50431CD2"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E6</w:t>
            </w:r>
            <w:r w:rsidRPr="00A27E10">
              <w:rPr>
                <w:rFonts w:ascii="Calibri" w:eastAsia="Times New Roman" w:hAnsi="Calibri" w:cs="Calibri"/>
                <w:bCs/>
                <w:color w:val="000000"/>
                <w:lang w:eastAsia="es-ES"/>
              </w:rPr>
              <w:t xml:space="preserve"> - Ayudas a la </w:t>
            </w:r>
            <w:r w:rsidR="00CA2E61" w:rsidRPr="00A27E10">
              <w:rPr>
                <w:rFonts w:ascii="Calibri" w:eastAsia="Times New Roman" w:hAnsi="Calibri" w:cs="Calibri"/>
                <w:bCs/>
                <w:color w:val="000000"/>
                <w:lang w:eastAsia="es-ES"/>
              </w:rPr>
              <w:t>producción o</w:t>
            </w:r>
            <w:r w:rsidRPr="00A27E10">
              <w:rPr>
                <w:rFonts w:ascii="Calibri" w:eastAsia="Times New Roman" w:hAnsi="Calibri" w:cs="Calibri"/>
                <w:bCs/>
                <w:color w:val="000000"/>
                <w:lang w:eastAsia="es-ES"/>
              </w:rPr>
              <w:t xml:space="preserve"> consumo de biocombustibles que contribuyan a la deforestación y/o degradación de la </w:t>
            </w:r>
            <w:r w:rsidR="00CA2E61" w:rsidRPr="00A27E10">
              <w:rPr>
                <w:rFonts w:ascii="Calibri" w:eastAsia="Times New Roman" w:hAnsi="Calibri" w:cs="Calibri"/>
                <w:bCs/>
                <w:color w:val="000000"/>
                <w:lang w:eastAsia="es-ES"/>
              </w:rPr>
              <w:t>tierra,</w:t>
            </w:r>
            <w:r w:rsidRPr="00A27E10">
              <w:rPr>
                <w:rFonts w:ascii="Calibri" w:eastAsia="Times New Roman" w:hAnsi="Calibri" w:cs="Calibri"/>
                <w:bCs/>
                <w:color w:val="000000"/>
                <w:lang w:eastAsia="es-ES"/>
              </w:rPr>
              <w:t xml:space="preserve"> cambios en los usos del suelo y pérdida de la biodiversidad</w:t>
            </w:r>
          </w:p>
        </w:tc>
        <w:tc>
          <w:tcPr>
            <w:tcW w:w="6379" w:type="dxa"/>
            <w:tcBorders>
              <w:top w:val="nil"/>
              <w:left w:val="nil"/>
              <w:bottom w:val="single" w:sz="4" w:space="0" w:color="auto"/>
              <w:right w:val="single" w:sz="4" w:space="0" w:color="auto"/>
            </w:tcBorders>
            <w:shd w:val="clear" w:color="000000" w:fill="FFF2CC"/>
            <w:vAlign w:val="center"/>
            <w:hideMark/>
          </w:tcPr>
          <w:p w14:paraId="0C99D00A"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Ejemplos de este tipo de biocombustible es el procedente del aceite de palma o de la soja</w:t>
            </w:r>
          </w:p>
        </w:tc>
        <w:tc>
          <w:tcPr>
            <w:tcW w:w="3742" w:type="dxa"/>
            <w:tcBorders>
              <w:top w:val="nil"/>
              <w:left w:val="nil"/>
              <w:bottom w:val="single" w:sz="4" w:space="0" w:color="auto"/>
              <w:right w:val="single" w:sz="4" w:space="0" w:color="auto"/>
            </w:tcBorders>
            <w:shd w:val="clear" w:color="000000" w:fill="FFF2CC"/>
            <w:vAlign w:val="center"/>
            <w:hideMark/>
          </w:tcPr>
          <w:p w14:paraId="03CECB5B"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2F5C0C9F"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20, 21, 23</w:t>
            </w:r>
          </w:p>
        </w:tc>
      </w:tr>
      <w:tr w:rsidR="00A27E10" w:rsidRPr="00A27E10" w14:paraId="37B72A8B" w14:textId="77777777" w:rsidTr="006822AF">
        <w:trPr>
          <w:trHeight w:val="15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7C836173"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E7</w:t>
            </w:r>
            <w:r w:rsidRPr="00A27E10">
              <w:rPr>
                <w:rFonts w:ascii="Calibri" w:eastAsia="Times New Roman" w:hAnsi="Calibri" w:cs="Calibri"/>
                <w:bCs/>
                <w:color w:val="000000"/>
                <w:lang w:eastAsia="es-ES"/>
              </w:rPr>
              <w:t xml:space="preserve"> - Apoyo a la ampliación de regadíos en zonas con masas de agua subterránea declaradas en riesgo de no alcanzar el buen estado cuantitativo o químico</w:t>
            </w:r>
          </w:p>
        </w:tc>
        <w:tc>
          <w:tcPr>
            <w:tcW w:w="6379" w:type="dxa"/>
            <w:tcBorders>
              <w:top w:val="nil"/>
              <w:left w:val="nil"/>
              <w:bottom w:val="single" w:sz="4" w:space="0" w:color="auto"/>
              <w:right w:val="single" w:sz="4" w:space="0" w:color="auto"/>
            </w:tcBorders>
            <w:shd w:val="clear" w:color="000000" w:fill="FFF2CC"/>
            <w:vAlign w:val="center"/>
            <w:hideMark/>
          </w:tcPr>
          <w:p w14:paraId="573E674C"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xml:space="preserve">Se puede consultar el listado de las 25 declaradas hasta ahora y su mapa de localización aquí: https://www.miteco.gob.es/es/agua/temas/estado-y-calidad-de-las-aguas/aguas-subterraneas/masas-de-agua-declaradas-en-riesgo/ </w:t>
            </w:r>
          </w:p>
        </w:tc>
        <w:tc>
          <w:tcPr>
            <w:tcW w:w="3742" w:type="dxa"/>
            <w:tcBorders>
              <w:top w:val="nil"/>
              <w:left w:val="nil"/>
              <w:bottom w:val="single" w:sz="4" w:space="0" w:color="auto"/>
              <w:right w:val="single" w:sz="4" w:space="0" w:color="auto"/>
            </w:tcBorders>
            <w:shd w:val="clear" w:color="000000" w:fill="FFF2CC"/>
            <w:vAlign w:val="center"/>
            <w:hideMark/>
          </w:tcPr>
          <w:p w14:paraId="100DA57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76911A9F"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21, 23</w:t>
            </w:r>
          </w:p>
        </w:tc>
      </w:tr>
      <w:tr w:rsidR="00A27E10" w:rsidRPr="00A27E10" w14:paraId="52B84E49" w14:textId="77777777" w:rsidTr="006822AF">
        <w:trPr>
          <w:trHeight w:val="1551"/>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08E7D5D0"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E8</w:t>
            </w:r>
            <w:r w:rsidRPr="00A27E10">
              <w:rPr>
                <w:rFonts w:ascii="Calibri" w:eastAsia="Times New Roman" w:hAnsi="Calibri" w:cs="Calibri"/>
                <w:bCs/>
                <w:color w:val="000000"/>
                <w:lang w:eastAsia="es-ES"/>
              </w:rPr>
              <w:t xml:space="preserve"> - Ayudas para fertilizantes y pesticidas contaminantes</w:t>
            </w:r>
          </w:p>
        </w:tc>
        <w:tc>
          <w:tcPr>
            <w:tcW w:w="6379" w:type="dxa"/>
            <w:tcBorders>
              <w:top w:val="nil"/>
              <w:left w:val="nil"/>
              <w:bottom w:val="single" w:sz="4" w:space="0" w:color="auto"/>
              <w:right w:val="single" w:sz="4" w:space="0" w:color="auto"/>
            </w:tcBorders>
            <w:shd w:val="clear" w:color="000000" w:fill="FFF2CC"/>
            <w:vAlign w:val="center"/>
            <w:hideMark/>
          </w:tcPr>
          <w:p w14:paraId="410252B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Todos aquellos fertilizantes que no sean de tipo A según el Anexo V del RD 506/2013, las ayudas para productos fitosanitarios que no contienen sustancias candidatas a la sustitución, de acuerdo con lo establecido en el Reglamento 1107/2009, y ayudas para pesticidas siempre que no generen un beneficio neto al medio ambiente.</w:t>
            </w:r>
          </w:p>
        </w:tc>
        <w:tc>
          <w:tcPr>
            <w:tcW w:w="3742" w:type="dxa"/>
            <w:tcBorders>
              <w:top w:val="nil"/>
              <w:left w:val="nil"/>
              <w:bottom w:val="single" w:sz="4" w:space="0" w:color="auto"/>
              <w:right w:val="single" w:sz="4" w:space="0" w:color="auto"/>
            </w:tcBorders>
            <w:shd w:val="clear" w:color="000000" w:fill="FFF2CC"/>
            <w:vAlign w:val="center"/>
            <w:hideMark/>
          </w:tcPr>
          <w:p w14:paraId="112B511B"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45D33580"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w:t>
            </w:r>
          </w:p>
        </w:tc>
      </w:tr>
      <w:tr w:rsidR="00A27E10" w:rsidRPr="00A27E10" w14:paraId="6252FE5F"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03A017BF"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E9</w:t>
            </w:r>
            <w:r w:rsidRPr="00A27E10">
              <w:rPr>
                <w:rFonts w:ascii="Calibri" w:eastAsia="Times New Roman" w:hAnsi="Calibri" w:cs="Calibri"/>
                <w:bCs/>
                <w:color w:val="000000"/>
                <w:lang w:eastAsia="es-ES"/>
              </w:rPr>
              <w:t xml:space="preserve"> - Apoyo a la agricultura y/o ganadería intensiva que no tenga en cuenta las consideraciones ambientales </w:t>
            </w:r>
          </w:p>
        </w:tc>
        <w:tc>
          <w:tcPr>
            <w:tcW w:w="6379" w:type="dxa"/>
            <w:tcBorders>
              <w:top w:val="nil"/>
              <w:left w:val="nil"/>
              <w:bottom w:val="single" w:sz="4" w:space="0" w:color="auto"/>
              <w:right w:val="single" w:sz="4" w:space="0" w:color="auto"/>
            </w:tcBorders>
            <w:shd w:val="clear" w:color="000000" w:fill="FFF2CC"/>
            <w:noWrap/>
            <w:vAlign w:val="center"/>
            <w:hideMark/>
          </w:tcPr>
          <w:p w14:paraId="2FBBA9F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4D744FAE"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0221B615"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w:t>
            </w:r>
          </w:p>
        </w:tc>
      </w:tr>
      <w:tr w:rsidR="00A27E10" w:rsidRPr="00A27E10" w14:paraId="0440152E" w14:textId="77777777" w:rsidTr="006822AF">
        <w:trPr>
          <w:trHeight w:val="498"/>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4F56BF1"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E10</w:t>
            </w:r>
            <w:r w:rsidRPr="00A27E10">
              <w:rPr>
                <w:rFonts w:ascii="Calibri" w:eastAsia="Times New Roman" w:hAnsi="Calibri" w:cs="Calibri"/>
                <w:bCs/>
                <w:color w:val="000000"/>
                <w:lang w:eastAsia="es-ES"/>
              </w:rPr>
              <w:t xml:space="preserve"> - Apoyo a la importación, exportación, producción y/o comercialización de productos que sean o contengan materias primas cuya obtención contribuya a la deforestación y la degradación forestal en todo el mundo</w:t>
            </w:r>
          </w:p>
        </w:tc>
        <w:tc>
          <w:tcPr>
            <w:tcW w:w="6379" w:type="dxa"/>
            <w:tcBorders>
              <w:top w:val="nil"/>
              <w:left w:val="nil"/>
              <w:bottom w:val="single" w:sz="4" w:space="0" w:color="auto"/>
              <w:right w:val="single" w:sz="4" w:space="0" w:color="auto"/>
            </w:tcBorders>
            <w:shd w:val="clear" w:color="000000" w:fill="FFF2CC"/>
            <w:vAlign w:val="center"/>
            <w:hideMark/>
          </w:tcPr>
          <w:p w14:paraId="763AB67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El consenso sobre las materias primas asociadas a mayor deforestación indica: aceite de palma, soja, madera, caucho, cacao y café, así como algunos de sus productos derivados.</w:t>
            </w:r>
          </w:p>
        </w:tc>
        <w:tc>
          <w:tcPr>
            <w:tcW w:w="3742" w:type="dxa"/>
            <w:tcBorders>
              <w:top w:val="nil"/>
              <w:left w:val="nil"/>
              <w:bottom w:val="single" w:sz="4" w:space="0" w:color="auto"/>
              <w:right w:val="single" w:sz="4" w:space="0" w:color="auto"/>
            </w:tcBorders>
            <w:shd w:val="clear" w:color="000000" w:fill="FFF2CC"/>
            <w:vAlign w:val="center"/>
            <w:hideMark/>
          </w:tcPr>
          <w:p w14:paraId="4577031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01BE7FF9"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20, 21</w:t>
            </w:r>
          </w:p>
        </w:tc>
      </w:tr>
      <w:tr w:rsidR="00A27E10" w:rsidRPr="00A27E10" w14:paraId="3A0104DD" w14:textId="77777777" w:rsidTr="006822AF">
        <w:trPr>
          <w:trHeight w:val="165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9792F26"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E11</w:t>
            </w:r>
            <w:r w:rsidRPr="00A27E10">
              <w:rPr>
                <w:rFonts w:ascii="Calibri" w:eastAsia="Times New Roman" w:hAnsi="Calibri" w:cs="Calibri"/>
                <w:bCs/>
                <w:color w:val="000000"/>
                <w:lang w:eastAsia="es-ES"/>
              </w:rPr>
              <w:t xml:space="preserve"> - Apoyo a prácticas forestales no sostenibles</w:t>
            </w:r>
          </w:p>
        </w:tc>
        <w:tc>
          <w:tcPr>
            <w:tcW w:w="6379" w:type="dxa"/>
            <w:tcBorders>
              <w:top w:val="nil"/>
              <w:left w:val="nil"/>
              <w:bottom w:val="single" w:sz="4" w:space="0" w:color="auto"/>
              <w:right w:val="single" w:sz="4" w:space="0" w:color="auto"/>
            </w:tcBorders>
            <w:shd w:val="clear" w:color="000000" w:fill="FFF2CC"/>
            <w:vAlign w:val="center"/>
            <w:hideMark/>
          </w:tcPr>
          <w:p w14:paraId="2912A06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p. ej. plantaciones de monocultivos de especies exóticas, uso de pesticidas y fertilizantes químicos, monocultivos de especies sin preservar la biodiversidad genética. El MITECO fomenta a través del Plan nacional integrado de energía y clima (PNIEC) cultivos de ribera, que pueden ser choperas (monocultivos), si es en sustitución de cultivos herbáceos que se sitúen en zonas inundables.</w:t>
            </w:r>
          </w:p>
        </w:tc>
        <w:tc>
          <w:tcPr>
            <w:tcW w:w="3742" w:type="dxa"/>
            <w:tcBorders>
              <w:top w:val="nil"/>
              <w:left w:val="nil"/>
              <w:bottom w:val="single" w:sz="4" w:space="0" w:color="auto"/>
              <w:right w:val="single" w:sz="4" w:space="0" w:color="auto"/>
            </w:tcBorders>
            <w:shd w:val="clear" w:color="000000" w:fill="FFF2CC"/>
            <w:vAlign w:val="center"/>
            <w:hideMark/>
          </w:tcPr>
          <w:p w14:paraId="4AA19289"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337F698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21, 23</w:t>
            </w:r>
          </w:p>
        </w:tc>
      </w:tr>
      <w:tr w:rsidR="00A27E10" w:rsidRPr="00A27E10" w14:paraId="15D184C8"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5424666E"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E12</w:t>
            </w:r>
            <w:r w:rsidRPr="00A27E10">
              <w:rPr>
                <w:rFonts w:ascii="Calibri" w:eastAsia="Times New Roman" w:hAnsi="Calibri" w:cs="Calibri"/>
                <w:bCs/>
                <w:color w:val="000000"/>
                <w:lang w:eastAsia="es-ES"/>
              </w:rPr>
              <w:t xml:space="preserve"> - Apoyo a los combustibles fósiles utilizados en la pesca comercial nacional, la pesca continental, la acuicultura </w:t>
            </w:r>
          </w:p>
        </w:tc>
        <w:tc>
          <w:tcPr>
            <w:tcW w:w="6379" w:type="dxa"/>
            <w:tcBorders>
              <w:top w:val="nil"/>
              <w:left w:val="nil"/>
              <w:bottom w:val="single" w:sz="4" w:space="0" w:color="auto"/>
              <w:right w:val="single" w:sz="4" w:space="0" w:color="auto"/>
            </w:tcBorders>
            <w:shd w:val="clear" w:color="000000" w:fill="FFF2CC"/>
            <w:vAlign w:val="center"/>
            <w:hideMark/>
          </w:tcPr>
          <w:p w14:paraId="137A632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5939A24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p>
        </w:tc>
        <w:tc>
          <w:tcPr>
            <w:tcW w:w="936" w:type="dxa"/>
            <w:tcBorders>
              <w:top w:val="nil"/>
              <w:left w:val="nil"/>
              <w:bottom w:val="single" w:sz="4" w:space="0" w:color="auto"/>
              <w:right w:val="single" w:sz="8" w:space="0" w:color="auto"/>
            </w:tcBorders>
            <w:shd w:val="clear" w:color="000000" w:fill="FFF2CC"/>
            <w:vAlign w:val="center"/>
            <w:hideMark/>
          </w:tcPr>
          <w:p w14:paraId="131488D1"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w:t>
            </w:r>
          </w:p>
        </w:tc>
      </w:tr>
      <w:tr w:rsidR="00A27E10" w:rsidRPr="00A27E10" w14:paraId="1C396C2C" w14:textId="77777777" w:rsidTr="006822AF">
        <w:trPr>
          <w:trHeight w:val="1004"/>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1DFB1BE"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 xml:space="preserve">E13 </w:t>
            </w:r>
            <w:r w:rsidRPr="00A27E10">
              <w:rPr>
                <w:rFonts w:ascii="Calibri" w:eastAsia="Times New Roman" w:hAnsi="Calibri" w:cs="Calibri"/>
                <w:bCs/>
                <w:color w:val="000000"/>
                <w:lang w:eastAsia="es-ES"/>
              </w:rPr>
              <w:t>-</w:t>
            </w:r>
            <w:r w:rsidRPr="00A27E10">
              <w:rPr>
                <w:rFonts w:ascii="Calibri" w:eastAsia="Times New Roman" w:hAnsi="Calibri" w:cs="Calibri"/>
                <w:b/>
                <w:bCs/>
                <w:color w:val="000000"/>
                <w:lang w:eastAsia="es-ES"/>
              </w:rPr>
              <w:t xml:space="preserve"> </w:t>
            </w:r>
            <w:r w:rsidRPr="00A27E10">
              <w:rPr>
                <w:rFonts w:ascii="Calibri" w:eastAsia="Times New Roman" w:hAnsi="Calibri" w:cs="Calibri"/>
                <w:bCs/>
                <w:color w:val="000000"/>
                <w:lang w:eastAsia="es-ES"/>
              </w:rPr>
              <w:t>Otros apoyos a la pesca no sostenible</w:t>
            </w:r>
          </w:p>
        </w:tc>
        <w:tc>
          <w:tcPr>
            <w:tcW w:w="6379" w:type="dxa"/>
            <w:tcBorders>
              <w:top w:val="nil"/>
              <w:left w:val="nil"/>
              <w:bottom w:val="single" w:sz="4" w:space="0" w:color="auto"/>
              <w:right w:val="single" w:sz="4" w:space="0" w:color="auto"/>
            </w:tcBorders>
            <w:shd w:val="clear" w:color="000000" w:fill="FFF2CC"/>
            <w:vAlign w:val="center"/>
            <w:hideMark/>
          </w:tcPr>
          <w:p w14:paraId="1DB28BA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Se incluyen el apoyo a la actividad pesquera que conlleve una capacidad de sobrepesca y cualquier otra actuación que se considere que pueda poner en riesgo la sostenibilidad de los recursos marinos (explíquese en el campo “Observaciones”).</w:t>
            </w:r>
          </w:p>
        </w:tc>
        <w:tc>
          <w:tcPr>
            <w:tcW w:w="3742" w:type="dxa"/>
            <w:tcBorders>
              <w:top w:val="nil"/>
              <w:left w:val="nil"/>
              <w:bottom w:val="single" w:sz="4" w:space="0" w:color="auto"/>
              <w:right w:val="single" w:sz="4" w:space="0" w:color="auto"/>
            </w:tcBorders>
            <w:shd w:val="clear" w:color="000000" w:fill="FFF2CC"/>
            <w:vAlign w:val="center"/>
            <w:hideMark/>
          </w:tcPr>
          <w:p w14:paraId="65A395D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4FB98BEA"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w:t>
            </w:r>
          </w:p>
        </w:tc>
      </w:tr>
      <w:tr w:rsidR="00A27E10" w:rsidRPr="00A27E10" w14:paraId="772148DE"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1F7977E"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E14</w:t>
            </w:r>
            <w:r w:rsidRPr="00A27E10">
              <w:rPr>
                <w:rFonts w:ascii="Calibri" w:eastAsia="Times New Roman" w:hAnsi="Calibri" w:cs="Calibri"/>
                <w:bCs/>
                <w:color w:val="000000"/>
                <w:lang w:eastAsia="es-ES"/>
              </w:rPr>
              <w:t xml:space="preserve"> - Compensación por los costes indirectos del régimen de comercio de emisión de gases de efecto invernadero</w:t>
            </w:r>
          </w:p>
        </w:tc>
        <w:tc>
          <w:tcPr>
            <w:tcW w:w="6379" w:type="dxa"/>
            <w:tcBorders>
              <w:top w:val="nil"/>
              <w:left w:val="nil"/>
              <w:bottom w:val="single" w:sz="4" w:space="0" w:color="auto"/>
              <w:right w:val="single" w:sz="4" w:space="0" w:color="auto"/>
            </w:tcBorders>
            <w:shd w:val="clear" w:color="000000" w:fill="FFF2CC"/>
            <w:vAlign w:val="center"/>
            <w:hideMark/>
          </w:tcPr>
          <w:p w14:paraId="727BAFDC"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Compensaciones financiadas según el artículo 30.4 de la Ley 7/2021 </w:t>
            </w:r>
          </w:p>
        </w:tc>
        <w:tc>
          <w:tcPr>
            <w:tcW w:w="3742" w:type="dxa"/>
            <w:tcBorders>
              <w:top w:val="nil"/>
              <w:left w:val="nil"/>
              <w:bottom w:val="single" w:sz="4" w:space="0" w:color="auto"/>
              <w:right w:val="single" w:sz="4" w:space="0" w:color="auto"/>
            </w:tcBorders>
            <w:shd w:val="clear" w:color="000000" w:fill="FFF2CC"/>
            <w:vAlign w:val="center"/>
            <w:hideMark/>
          </w:tcPr>
          <w:p w14:paraId="0E168B2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11E41C60"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25198764" w14:textId="77777777" w:rsidTr="006822AF">
        <w:trPr>
          <w:trHeight w:val="87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52F55D1D" w14:textId="5FF91368"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E15</w:t>
            </w:r>
            <w:r w:rsidRPr="00A27E10">
              <w:rPr>
                <w:rFonts w:ascii="Calibri" w:eastAsia="Times New Roman" w:hAnsi="Calibri" w:cs="Calibri"/>
                <w:bCs/>
                <w:color w:val="000000"/>
                <w:lang w:eastAsia="es-ES"/>
              </w:rPr>
              <w:t xml:space="preserve"> - Gasto en interconectividad e </w:t>
            </w:r>
            <w:r w:rsidR="00CA2E61" w:rsidRPr="00A27E10">
              <w:rPr>
                <w:rFonts w:ascii="Calibri" w:eastAsia="Times New Roman" w:hAnsi="Calibri" w:cs="Calibri"/>
                <w:bCs/>
                <w:color w:val="000000"/>
                <w:lang w:eastAsia="es-ES"/>
              </w:rPr>
              <w:t>infraestructuras y</w:t>
            </w:r>
            <w:r w:rsidRPr="00A27E10">
              <w:rPr>
                <w:rFonts w:ascii="Calibri" w:eastAsia="Times New Roman" w:hAnsi="Calibri" w:cs="Calibri"/>
                <w:bCs/>
                <w:color w:val="000000"/>
                <w:lang w:eastAsia="es-ES"/>
              </w:rPr>
              <w:t xml:space="preserve"> plantas de almacenamiento de combustibles fósiles</w:t>
            </w:r>
          </w:p>
        </w:tc>
        <w:tc>
          <w:tcPr>
            <w:tcW w:w="6379" w:type="dxa"/>
            <w:tcBorders>
              <w:top w:val="nil"/>
              <w:left w:val="nil"/>
              <w:bottom w:val="single" w:sz="4" w:space="0" w:color="auto"/>
              <w:right w:val="single" w:sz="4" w:space="0" w:color="auto"/>
            </w:tcBorders>
            <w:shd w:val="clear" w:color="000000" w:fill="FFF2CC"/>
            <w:noWrap/>
            <w:vAlign w:val="center"/>
            <w:hideMark/>
          </w:tcPr>
          <w:p w14:paraId="2A02141A"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2CC9F8D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5B5D4B2B"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71831514"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5F6BC7D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E16</w:t>
            </w:r>
            <w:r w:rsidRPr="00A27E10">
              <w:rPr>
                <w:rFonts w:ascii="Calibri" w:eastAsia="Times New Roman" w:hAnsi="Calibri" w:cs="Calibri"/>
                <w:bCs/>
                <w:color w:val="000000"/>
                <w:lang w:eastAsia="es-ES"/>
              </w:rPr>
              <w:t xml:space="preserve"> - Ayudas para el transporte y procesamiento de recursos de energías fósiles</w:t>
            </w:r>
          </w:p>
        </w:tc>
        <w:tc>
          <w:tcPr>
            <w:tcW w:w="6379" w:type="dxa"/>
            <w:tcBorders>
              <w:top w:val="nil"/>
              <w:left w:val="nil"/>
              <w:bottom w:val="single" w:sz="4" w:space="0" w:color="auto"/>
              <w:right w:val="single" w:sz="4" w:space="0" w:color="auto"/>
            </w:tcBorders>
            <w:shd w:val="clear" w:color="000000" w:fill="FFF2CC"/>
            <w:noWrap/>
            <w:vAlign w:val="center"/>
            <w:hideMark/>
          </w:tcPr>
          <w:p w14:paraId="44DE6C0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23E2479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3AE154E8"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1B61D5FC"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4CCCA770"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E17</w:t>
            </w:r>
            <w:r w:rsidRPr="00A27E10">
              <w:rPr>
                <w:rFonts w:ascii="Calibri" w:eastAsia="Times New Roman" w:hAnsi="Calibri" w:cs="Calibri"/>
                <w:bCs/>
                <w:color w:val="000000"/>
                <w:lang w:eastAsia="es-ES"/>
              </w:rPr>
              <w:t xml:space="preserve"> - Ayudas para la construcción de plantas de calor y refinerías de combustibles fósiles</w:t>
            </w:r>
          </w:p>
        </w:tc>
        <w:tc>
          <w:tcPr>
            <w:tcW w:w="6379" w:type="dxa"/>
            <w:tcBorders>
              <w:top w:val="nil"/>
              <w:left w:val="nil"/>
              <w:bottom w:val="single" w:sz="4" w:space="0" w:color="auto"/>
              <w:right w:val="single" w:sz="4" w:space="0" w:color="auto"/>
            </w:tcBorders>
            <w:shd w:val="clear" w:color="000000" w:fill="FFF2CC"/>
            <w:noWrap/>
            <w:vAlign w:val="center"/>
            <w:hideMark/>
          </w:tcPr>
          <w:p w14:paraId="6240413D"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56139AEC"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492B40C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2B51377C"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135AF26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E18</w:t>
            </w:r>
            <w:r w:rsidRPr="00A27E10">
              <w:rPr>
                <w:rFonts w:ascii="Calibri" w:eastAsia="Times New Roman" w:hAnsi="Calibri" w:cs="Calibri"/>
                <w:bCs/>
                <w:color w:val="000000"/>
                <w:lang w:eastAsia="es-ES"/>
              </w:rPr>
              <w:t xml:space="preserve"> - Ayudas para la construcción de infraestructuras de red para electricidad alimentada por combustibles fósiles</w:t>
            </w:r>
          </w:p>
        </w:tc>
        <w:tc>
          <w:tcPr>
            <w:tcW w:w="6379" w:type="dxa"/>
            <w:tcBorders>
              <w:top w:val="nil"/>
              <w:left w:val="nil"/>
              <w:bottom w:val="single" w:sz="4" w:space="0" w:color="auto"/>
              <w:right w:val="single" w:sz="4" w:space="0" w:color="auto"/>
            </w:tcBorders>
            <w:shd w:val="clear" w:color="000000" w:fill="FFF2CC"/>
            <w:noWrap/>
            <w:vAlign w:val="center"/>
            <w:hideMark/>
          </w:tcPr>
          <w:p w14:paraId="23120255"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04F0311A"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0D986B18"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02B886F4" w14:textId="77777777" w:rsidTr="006822AF">
        <w:trPr>
          <w:trHeight w:val="1309"/>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5CA59A0"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E19</w:t>
            </w:r>
            <w:r w:rsidRPr="00A27E10">
              <w:rPr>
                <w:rFonts w:ascii="Calibri" w:eastAsia="Times New Roman" w:hAnsi="Calibri" w:cs="Calibri"/>
                <w:bCs/>
                <w:color w:val="000000"/>
                <w:lang w:eastAsia="es-ES"/>
              </w:rPr>
              <w:t xml:space="preserve"> - Subvenciones para los combustibles fósiles utilizados en plantas de cogeneración de calor y electricidad (CHP) y/o para generación de electricidad a partir de biomasa o turba</w:t>
            </w:r>
          </w:p>
        </w:tc>
        <w:tc>
          <w:tcPr>
            <w:tcW w:w="6379" w:type="dxa"/>
            <w:tcBorders>
              <w:top w:val="nil"/>
              <w:left w:val="nil"/>
              <w:bottom w:val="single" w:sz="4" w:space="0" w:color="auto"/>
              <w:right w:val="single" w:sz="4" w:space="0" w:color="auto"/>
            </w:tcBorders>
            <w:shd w:val="clear" w:color="000000" w:fill="FFF2CC"/>
            <w:noWrap/>
            <w:vAlign w:val="center"/>
            <w:hideMark/>
          </w:tcPr>
          <w:p w14:paraId="1EDD373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279B84D5"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p>
        </w:tc>
        <w:tc>
          <w:tcPr>
            <w:tcW w:w="936" w:type="dxa"/>
            <w:tcBorders>
              <w:top w:val="nil"/>
              <w:left w:val="nil"/>
              <w:bottom w:val="single" w:sz="4" w:space="0" w:color="auto"/>
              <w:right w:val="single" w:sz="8" w:space="0" w:color="auto"/>
            </w:tcBorders>
            <w:shd w:val="clear" w:color="000000" w:fill="FFF2CC"/>
            <w:vAlign w:val="center"/>
            <w:hideMark/>
          </w:tcPr>
          <w:p w14:paraId="1443A909"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5A3AE3AD"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7C1DF975"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E20</w:t>
            </w:r>
            <w:r w:rsidRPr="00A27E10">
              <w:rPr>
                <w:rFonts w:ascii="Calibri" w:eastAsia="Times New Roman" w:hAnsi="Calibri" w:cs="Calibri"/>
                <w:bCs/>
                <w:color w:val="000000"/>
                <w:lang w:eastAsia="es-ES"/>
              </w:rPr>
              <w:t xml:space="preserve"> - Subvenciones de apoyo al almacenamiento de turba</w:t>
            </w:r>
          </w:p>
        </w:tc>
        <w:tc>
          <w:tcPr>
            <w:tcW w:w="6379" w:type="dxa"/>
            <w:tcBorders>
              <w:top w:val="nil"/>
              <w:left w:val="nil"/>
              <w:bottom w:val="single" w:sz="4" w:space="0" w:color="auto"/>
              <w:right w:val="single" w:sz="4" w:space="0" w:color="auto"/>
            </w:tcBorders>
            <w:shd w:val="clear" w:color="000000" w:fill="FFF2CC"/>
            <w:noWrap/>
            <w:vAlign w:val="center"/>
            <w:hideMark/>
          </w:tcPr>
          <w:p w14:paraId="24F7EDE7"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566E6CCA"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65507239"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4549B04E" w14:textId="77777777" w:rsidTr="006822AF">
        <w:trPr>
          <w:trHeight w:val="715"/>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03D3E10"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E21</w:t>
            </w:r>
            <w:r w:rsidRPr="00A27E10">
              <w:rPr>
                <w:rFonts w:ascii="Calibri" w:eastAsia="Times New Roman" w:hAnsi="Calibri" w:cs="Calibri"/>
                <w:bCs/>
                <w:color w:val="000000"/>
                <w:lang w:eastAsia="es-ES"/>
              </w:rPr>
              <w:t xml:space="preserve"> - Apoyo a fuentes fósiles en usos distintos de los combustibles</w:t>
            </w:r>
          </w:p>
        </w:tc>
        <w:tc>
          <w:tcPr>
            <w:tcW w:w="6379" w:type="dxa"/>
            <w:tcBorders>
              <w:top w:val="nil"/>
              <w:left w:val="nil"/>
              <w:bottom w:val="single" w:sz="4" w:space="0" w:color="auto"/>
              <w:right w:val="single" w:sz="4" w:space="0" w:color="auto"/>
            </w:tcBorders>
            <w:shd w:val="clear" w:color="000000" w:fill="FFF2CC"/>
            <w:vAlign w:val="center"/>
            <w:hideMark/>
          </w:tcPr>
          <w:p w14:paraId="6882B9F6" w14:textId="31A088E6"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xml:space="preserve">Por </w:t>
            </w:r>
            <w:r w:rsidR="00CA2E61" w:rsidRPr="00A27E10">
              <w:rPr>
                <w:rFonts w:ascii="Calibri" w:eastAsia="Times New Roman" w:hAnsi="Calibri" w:cs="Calibri"/>
                <w:lang w:eastAsia="es-ES"/>
              </w:rPr>
              <w:t>ejemplo,</w:t>
            </w:r>
            <w:r w:rsidRPr="00A27E10">
              <w:rPr>
                <w:rFonts w:ascii="Calibri" w:eastAsia="Times New Roman" w:hAnsi="Calibri" w:cs="Calibri"/>
                <w:lang w:eastAsia="es-ES"/>
              </w:rPr>
              <w:t xml:space="preserve"> combustible usado como materia prima para la generación de plásticos, cremas, anestésicos y detergentes. </w:t>
            </w:r>
          </w:p>
        </w:tc>
        <w:tc>
          <w:tcPr>
            <w:tcW w:w="3742" w:type="dxa"/>
            <w:tcBorders>
              <w:top w:val="nil"/>
              <w:left w:val="nil"/>
              <w:bottom w:val="single" w:sz="4" w:space="0" w:color="auto"/>
              <w:right w:val="single" w:sz="4" w:space="0" w:color="auto"/>
            </w:tcBorders>
            <w:shd w:val="clear" w:color="000000" w:fill="FFF2CC"/>
            <w:vAlign w:val="center"/>
            <w:hideMark/>
          </w:tcPr>
          <w:p w14:paraId="7A24FD83"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781E810C"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65880C44"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36FD7F6C"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E22</w:t>
            </w:r>
            <w:r w:rsidRPr="00A27E10">
              <w:rPr>
                <w:rFonts w:ascii="Calibri" w:eastAsia="Times New Roman" w:hAnsi="Calibri" w:cs="Calibri"/>
                <w:bCs/>
                <w:color w:val="000000"/>
                <w:lang w:eastAsia="es-ES"/>
              </w:rPr>
              <w:t xml:space="preserve"> - Ayudas a la extracción y refino de combustibles fósiles</w:t>
            </w:r>
          </w:p>
        </w:tc>
        <w:tc>
          <w:tcPr>
            <w:tcW w:w="6379" w:type="dxa"/>
            <w:tcBorders>
              <w:top w:val="nil"/>
              <w:left w:val="nil"/>
              <w:bottom w:val="single" w:sz="4" w:space="0" w:color="auto"/>
              <w:right w:val="single" w:sz="4" w:space="0" w:color="auto"/>
            </w:tcBorders>
            <w:shd w:val="clear" w:color="000000" w:fill="FFF2CC"/>
            <w:noWrap/>
            <w:vAlign w:val="center"/>
            <w:hideMark/>
          </w:tcPr>
          <w:p w14:paraId="360E18F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55E0A78D"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2688B4A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3D3C5DAB" w14:textId="77777777" w:rsidTr="006822AF">
        <w:trPr>
          <w:trHeight w:val="582"/>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F4B681E"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E23</w:t>
            </w:r>
            <w:r w:rsidRPr="00A27E10">
              <w:rPr>
                <w:rFonts w:ascii="Calibri" w:eastAsia="Times New Roman" w:hAnsi="Calibri" w:cs="Calibri"/>
                <w:bCs/>
                <w:color w:val="000000"/>
                <w:lang w:eastAsia="es-ES"/>
              </w:rPr>
              <w:t xml:space="preserve"> - Subvenciones para el metano utilizado en instalaciones de uso intensivo de energía</w:t>
            </w:r>
          </w:p>
        </w:tc>
        <w:tc>
          <w:tcPr>
            <w:tcW w:w="6379" w:type="dxa"/>
            <w:tcBorders>
              <w:top w:val="nil"/>
              <w:left w:val="nil"/>
              <w:bottom w:val="single" w:sz="4" w:space="0" w:color="auto"/>
              <w:right w:val="single" w:sz="4" w:space="0" w:color="auto"/>
            </w:tcBorders>
            <w:shd w:val="clear" w:color="000000" w:fill="FFF2CC"/>
            <w:noWrap/>
            <w:vAlign w:val="center"/>
            <w:hideMark/>
          </w:tcPr>
          <w:p w14:paraId="7AE61173"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67385EB6"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789668B8"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427DE394"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4FE248A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E24</w:t>
            </w:r>
            <w:r w:rsidRPr="00A27E10">
              <w:rPr>
                <w:rFonts w:ascii="Calibri" w:eastAsia="Times New Roman" w:hAnsi="Calibri" w:cs="Calibri"/>
                <w:bCs/>
                <w:color w:val="000000"/>
                <w:lang w:eastAsia="es-ES"/>
              </w:rPr>
              <w:t xml:space="preserve"> - Subsidio para proveedores de combustibles en áreas ultraperiféricas y remotas</w:t>
            </w:r>
          </w:p>
        </w:tc>
        <w:tc>
          <w:tcPr>
            <w:tcW w:w="6379" w:type="dxa"/>
            <w:tcBorders>
              <w:top w:val="nil"/>
              <w:left w:val="nil"/>
              <w:bottom w:val="single" w:sz="4" w:space="0" w:color="auto"/>
              <w:right w:val="single" w:sz="4" w:space="0" w:color="auto"/>
            </w:tcBorders>
            <w:shd w:val="clear" w:color="000000" w:fill="FFF2CC"/>
            <w:vAlign w:val="center"/>
            <w:hideMark/>
          </w:tcPr>
          <w:p w14:paraId="370A1F36" w14:textId="77777777" w:rsidR="00A27E10" w:rsidRPr="00A27E10" w:rsidRDefault="00A27E10" w:rsidP="00A27E10">
            <w:pPr>
              <w:spacing w:after="0" w:line="240" w:lineRule="auto"/>
              <w:rPr>
                <w:rFonts w:ascii="Calibri" w:eastAsia="Times New Roman" w:hAnsi="Calibri" w:cs="Calibri"/>
                <w:b/>
                <w:bCs/>
                <w:color w:val="FF0000"/>
                <w:lang w:eastAsia="es-ES"/>
              </w:rPr>
            </w:pPr>
            <w:r w:rsidRPr="00A27E10">
              <w:rPr>
                <w:rFonts w:ascii="Calibri" w:eastAsia="Times New Roman" w:hAnsi="Calibri" w:cs="Calibri"/>
                <w:b/>
                <w:bCs/>
                <w:color w:val="FF0000"/>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1A5C2DB7"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5D5289D0" w14:textId="498E1F1E"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17, 20</w:t>
            </w:r>
            <w:r w:rsidR="00602B62">
              <w:rPr>
                <w:rFonts w:ascii="Calibri" w:eastAsia="Times New Roman" w:hAnsi="Calibri" w:cs="Calibri"/>
                <w:color w:val="000000"/>
                <w:lang w:eastAsia="es-ES"/>
              </w:rPr>
              <w:t>, 25</w:t>
            </w:r>
          </w:p>
        </w:tc>
      </w:tr>
      <w:tr w:rsidR="00A27E10" w:rsidRPr="00A27E10" w14:paraId="79F434D0"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729077A2"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E25</w:t>
            </w:r>
            <w:r w:rsidRPr="00A27E10">
              <w:rPr>
                <w:rFonts w:ascii="Calibri" w:eastAsia="Times New Roman" w:hAnsi="Calibri" w:cs="Calibri"/>
                <w:bCs/>
                <w:color w:val="000000"/>
                <w:lang w:eastAsia="es-ES"/>
              </w:rPr>
              <w:t xml:space="preserve"> - Inversión relacionada con la producción, la transformación, el transporte, la distribución, el almacenamiento o la combustión de combustibles fósiles</w:t>
            </w:r>
          </w:p>
        </w:tc>
        <w:tc>
          <w:tcPr>
            <w:tcW w:w="6379" w:type="dxa"/>
            <w:tcBorders>
              <w:top w:val="nil"/>
              <w:left w:val="nil"/>
              <w:bottom w:val="single" w:sz="4" w:space="0" w:color="auto"/>
              <w:right w:val="single" w:sz="4" w:space="0" w:color="auto"/>
            </w:tcBorders>
            <w:shd w:val="clear" w:color="000000" w:fill="FFF2CC"/>
            <w:noWrap/>
            <w:vAlign w:val="center"/>
            <w:hideMark/>
          </w:tcPr>
          <w:p w14:paraId="2B4A7E0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63D0EBD0"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60F389A4" w14:textId="77777777"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20, 23</w:t>
            </w:r>
          </w:p>
        </w:tc>
      </w:tr>
      <w:tr w:rsidR="00A27E10" w:rsidRPr="00A27E10" w14:paraId="1C90338D"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89B0068"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E26</w:t>
            </w:r>
            <w:r w:rsidRPr="00A27E10">
              <w:rPr>
                <w:rFonts w:ascii="Calibri" w:eastAsia="Times New Roman" w:hAnsi="Calibri" w:cs="Calibri"/>
                <w:bCs/>
                <w:color w:val="000000"/>
                <w:lang w:eastAsia="es-ES"/>
              </w:rPr>
              <w:t xml:space="preserve"> - Inversiones relacionadas con la minería o la extracción, de combustibles fósiles sólidos y petróleo, así como las inversiones relacionadas con la extracción de gas</w:t>
            </w:r>
          </w:p>
        </w:tc>
        <w:tc>
          <w:tcPr>
            <w:tcW w:w="6379" w:type="dxa"/>
            <w:tcBorders>
              <w:top w:val="nil"/>
              <w:left w:val="nil"/>
              <w:bottom w:val="single" w:sz="4" w:space="0" w:color="auto"/>
              <w:right w:val="single" w:sz="4" w:space="0" w:color="auto"/>
            </w:tcBorders>
            <w:shd w:val="clear" w:color="000000" w:fill="FFF2CC"/>
            <w:noWrap/>
            <w:vAlign w:val="center"/>
            <w:hideMark/>
          </w:tcPr>
          <w:p w14:paraId="5D6B5E89"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7B1695EB"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2C8244A5"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20, 28</w:t>
            </w:r>
          </w:p>
        </w:tc>
      </w:tr>
      <w:tr w:rsidR="00A27E10" w:rsidRPr="00A27E10" w14:paraId="79C07829"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316783F"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E27</w:t>
            </w:r>
            <w:r w:rsidRPr="00A27E10">
              <w:rPr>
                <w:rFonts w:ascii="Calibri" w:eastAsia="Times New Roman" w:hAnsi="Calibri" w:cs="Calibri"/>
                <w:bCs/>
                <w:color w:val="000000"/>
                <w:lang w:eastAsia="es-ES"/>
              </w:rPr>
              <w:t xml:space="preserve"> - Subvenciones a la electricidad generada a partir de combustibles fósiles para perforación minera</w:t>
            </w:r>
          </w:p>
        </w:tc>
        <w:tc>
          <w:tcPr>
            <w:tcW w:w="6379" w:type="dxa"/>
            <w:tcBorders>
              <w:top w:val="nil"/>
              <w:left w:val="nil"/>
              <w:bottom w:val="single" w:sz="4" w:space="0" w:color="auto"/>
              <w:right w:val="single" w:sz="4" w:space="0" w:color="auto"/>
            </w:tcBorders>
            <w:shd w:val="clear" w:color="000000" w:fill="FFF2CC"/>
            <w:noWrap/>
            <w:vAlign w:val="center"/>
            <w:hideMark/>
          </w:tcPr>
          <w:p w14:paraId="700FE26C"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2C6E4BC3"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1E5D3B81"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20, 23, 28</w:t>
            </w:r>
          </w:p>
        </w:tc>
      </w:tr>
      <w:tr w:rsidR="00A27E10" w:rsidRPr="00A27E10" w14:paraId="400184B9"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7CEB4DA"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E28</w:t>
            </w:r>
            <w:r w:rsidRPr="00A27E10">
              <w:rPr>
                <w:rFonts w:ascii="Calibri" w:eastAsia="Times New Roman" w:hAnsi="Calibri" w:cs="Calibri"/>
                <w:bCs/>
                <w:color w:val="000000"/>
                <w:lang w:eastAsia="es-ES"/>
              </w:rPr>
              <w:t xml:space="preserve"> - Subvenciones para el petróleo mineral del sector petrolero en alta mar</w:t>
            </w:r>
          </w:p>
        </w:tc>
        <w:tc>
          <w:tcPr>
            <w:tcW w:w="6379" w:type="dxa"/>
            <w:tcBorders>
              <w:top w:val="nil"/>
              <w:left w:val="nil"/>
              <w:bottom w:val="single" w:sz="4" w:space="0" w:color="auto"/>
              <w:right w:val="single" w:sz="4" w:space="0" w:color="auto"/>
            </w:tcBorders>
            <w:shd w:val="clear" w:color="000000" w:fill="FFF2CC"/>
            <w:noWrap/>
            <w:vAlign w:val="center"/>
            <w:hideMark/>
          </w:tcPr>
          <w:p w14:paraId="7FFD080D"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292ADA67"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6C0968AC"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20, 23, 28</w:t>
            </w:r>
          </w:p>
        </w:tc>
      </w:tr>
      <w:tr w:rsidR="00A27E10" w:rsidRPr="00A27E10" w14:paraId="5F573A1F"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154D78F6"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E29</w:t>
            </w:r>
            <w:r w:rsidRPr="00A27E10">
              <w:rPr>
                <w:rFonts w:ascii="Calibri" w:eastAsia="Times New Roman" w:hAnsi="Calibri" w:cs="Calibri"/>
                <w:bCs/>
                <w:color w:val="000000"/>
                <w:lang w:eastAsia="es-ES"/>
              </w:rPr>
              <w:t xml:space="preserve"> - Subvenciones para dióxido de carbono para refino, energía para industrias intensivas en energía y otros negocios</w:t>
            </w:r>
          </w:p>
        </w:tc>
        <w:tc>
          <w:tcPr>
            <w:tcW w:w="6379" w:type="dxa"/>
            <w:tcBorders>
              <w:top w:val="nil"/>
              <w:left w:val="nil"/>
              <w:bottom w:val="single" w:sz="4" w:space="0" w:color="auto"/>
              <w:right w:val="single" w:sz="4" w:space="0" w:color="auto"/>
            </w:tcBorders>
            <w:shd w:val="clear" w:color="000000" w:fill="FFF2CC"/>
            <w:noWrap/>
            <w:vAlign w:val="center"/>
            <w:hideMark/>
          </w:tcPr>
          <w:p w14:paraId="5826415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4EA5ADDA"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450B58B7"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0A423C29"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305DA8B4"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E30</w:t>
            </w:r>
            <w:r w:rsidRPr="00A27E10">
              <w:rPr>
                <w:rFonts w:ascii="Calibri" w:eastAsia="Times New Roman" w:hAnsi="Calibri" w:cs="Calibri"/>
                <w:bCs/>
                <w:color w:val="000000"/>
                <w:lang w:eastAsia="es-ES"/>
              </w:rPr>
              <w:t xml:space="preserve"> - Subvenciones para aceite mineral usado en motores o vehículos de motor</w:t>
            </w:r>
          </w:p>
        </w:tc>
        <w:tc>
          <w:tcPr>
            <w:tcW w:w="6379" w:type="dxa"/>
            <w:tcBorders>
              <w:top w:val="nil"/>
              <w:left w:val="nil"/>
              <w:bottom w:val="single" w:sz="4" w:space="0" w:color="auto"/>
              <w:right w:val="single" w:sz="4" w:space="0" w:color="auto"/>
            </w:tcBorders>
            <w:shd w:val="clear" w:color="000000" w:fill="FFF2CC"/>
            <w:noWrap/>
            <w:vAlign w:val="center"/>
            <w:hideMark/>
          </w:tcPr>
          <w:p w14:paraId="141DDB6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5875F7D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40B210FB"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530B17FF"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A0AB59B"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E31</w:t>
            </w:r>
            <w:r w:rsidRPr="00A27E10">
              <w:rPr>
                <w:rFonts w:ascii="Calibri" w:eastAsia="Times New Roman" w:hAnsi="Calibri" w:cs="Calibri"/>
                <w:bCs/>
                <w:color w:val="000000"/>
                <w:lang w:eastAsia="es-ES"/>
              </w:rPr>
              <w:t xml:space="preserve"> - Subvenciones a actividades que conducen a un aumento en el uso o liberación de sustancias tóxicas o a la producción de productos químicos</w:t>
            </w:r>
          </w:p>
        </w:tc>
        <w:tc>
          <w:tcPr>
            <w:tcW w:w="6379" w:type="dxa"/>
            <w:tcBorders>
              <w:top w:val="nil"/>
              <w:left w:val="nil"/>
              <w:bottom w:val="single" w:sz="4" w:space="0" w:color="auto"/>
              <w:right w:val="single" w:sz="4" w:space="0" w:color="auto"/>
            </w:tcBorders>
            <w:shd w:val="clear" w:color="000000" w:fill="FFF2CC"/>
            <w:noWrap/>
            <w:vAlign w:val="center"/>
            <w:hideMark/>
          </w:tcPr>
          <w:p w14:paraId="77E5C46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44ADE15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5DA9B82A"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37CC74B6"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BA46B53"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E32</w:t>
            </w:r>
            <w:r w:rsidRPr="00A27E10">
              <w:rPr>
                <w:rFonts w:ascii="Calibri" w:eastAsia="Times New Roman" w:hAnsi="Calibri" w:cs="Calibri"/>
                <w:bCs/>
                <w:color w:val="000000"/>
                <w:lang w:eastAsia="es-ES"/>
              </w:rPr>
              <w:t xml:space="preserve"> - Inversión/Subvenciones a la construcción de infraestructuras no resilientes y no viables a medio y largo plazo</w:t>
            </w:r>
          </w:p>
        </w:tc>
        <w:tc>
          <w:tcPr>
            <w:tcW w:w="6379" w:type="dxa"/>
            <w:tcBorders>
              <w:top w:val="nil"/>
              <w:left w:val="nil"/>
              <w:bottom w:val="single" w:sz="4" w:space="0" w:color="auto"/>
              <w:right w:val="single" w:sz="4" w:space="0" w:color="auto"/>
            </w:tcBorders>
            <w:shd w:val="clear" w:color="000000" w:fill="FFF2CC"/>
            <w:noWrap/>
            <w:vAlign w:val="center"/>
            <w:hideMark/>
          </w:tcPr>
          <w:p w14:paraId="1DB63941" w14:textId="34B463F1"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xml:space="preserve">Por </w:t>
            </w:r>
            <w:r w:rsidR="0094725C" w:rsidRPr="00A27E10">
              <w:rPr>
                <w:rFonts w:ascii="Calibri" w:eastAsia="Times New Roman" w:hAnsi="Calibri" w:cs="Calibri"/>
                <w:lang w:eastAsia="es-ES"/>
              </w:rPr>
              <w:t>ejemplo,</w:t>
            </w:r>
            <w:r w:rsidRPr="00A27E10">
              <w:rPr>
                <w:rFonts w:ascii="Calibri" w:eastAsia="Times New Roman" w:hAnsi="Calibri" w:cs="Calibri"/>
                <w:lang w:eastAsia="es-ES"/>
              </w:rPr>
              <w:t xml:space="preserve"> nuevas pistas de esquí, playas artificiales, campos de golf, parques temáticos…</w:t>
            </w:r>
          </w:p>
        </w:tc>
        <w:tc>
          <w:tcPr>
            <w:tcW w:w="3742" w:type="dxa"/>
            <w:tcBorders>
              <w:top w:val="nil"/>
              <w:left w:val="nil"/>
              <w:bottom w:val="single" w:sz="4" w:space="0" w:color="auto"/>
              <w:right w:val="single" w:sz="4" w:space="0" w:color="auto"/>
            </w:tcBorders>
            <w:shd w:val="clear" w:color="000000" w:fill="FFF2CC"/>
            <w:vAlign w:val="center"/>
            <w:hideMark/>
          </w:tcPr>
          <w:p w14:paraId="72BF2DE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2B500494" w14:textId="2D40915A"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17, 20</w:t>
            </w:r>
            <w:r w:rsidR="00602B62">
              <w:rPr>
                <w:rFonts w:ascii="Calibri" w:eastAsia="Times New Roman" w:hAnsi="Calibri" w:cs="Calibri"/>
                <w:color w:val="000000"/>
                <w:lang w:eastAsia="es-ES"/>
              </w:rPr>
              <w:t>, 25</w:t>
            </w:r>
          </w:p>
        </w:tc>
      </w:tr>
      <w:tr w:rsidR="00A27E10" w:rsidRPr="00A27E10" w14:paraId="0A0A2C1D"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39A646E1"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E33</w:t>
            </w:r>
            <w:r w:rsidRPr="00A27E10">
              <w:rPr>
                <w:rFonts w:ascii="Calibri" w:eastAsia="Times New Roman" w:hAnsi="Calibri" w:cs="Calibri"/>
                <w:bCs/>
                <w:color w:val="000000"/>
                <w:lang w:eastAsia="es-ES"/>
              </w:rPr>
              <w:t xml:space="preserve"> - Inversión/Subvenciones a la construcción de nuevas carreteras y autovías.</w:t>
            </w:r>
          </w:p>
        </w:tc>
        <w:tc>
          <w:tcPr>
            <w:tcW w:w="6379" w:type="dxa"/>
            <w:tcBorders>
              <w:top w:val="nil"/>
              <w:left w:val="nil"/>
              <w:bottom w:val="single" w:sz="4" w:space="0" w:color="auto"/>
              <w:right w:val="single" w:sz="4" w:space="0" w:color="auto"/>
            </w:tcBorders>
            <w:shd w:val="clear" w:color="000000" w:fill="FFF2CC"/>
            <w:vAlign w:val="center"/>
            <w:hideMark/>
          </w:tcPr>
          <w:p w14:paraId="3AF9FAA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Solo se incluyen las de nueva construcción, no las destinadas al mantenimiento, en desfragmentación del territorio y en adaptación al cambio climático de las infraestructuras existentes</w:t>
            </w:r>
          </w:p>
        </w:tc>
        <w:tc>
          <w:tcPr>
            <w:tcW w:w="3742" w:type="dxa"/>
            <w:tcBorders>
              <w:top w:val="nil"/>
              <w:left w:val="nil"/>
              <w:bottom w:val="single" w:sz="4" w:space="0" w:color="auto"/>
              <w:right w:val="single" w:sz="4" w:space="0" w:color="auto"/>
            </w:tcBorders>
            <w:shd w:val="clear" w:color="000000" w:fill="FFF2CC"/>
            <w:vAlign w:val="center"/>
            <w:hideMark/>
          </w:tcPr>
          <w:p w14:paraId="2310EAFA"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5B132F4B" w14:textId="7FA641CF"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w:t>
            </w:r>
            <w:r w:rsidR="00602B62">
              <w:rPr>
                <w:rFonts w:ascii="Calibri" w:eastAsia="Times New Roman" w:hAnsi="Calibri" w:cs="Calibri"/>
                <w:color w:val="000000"/>
                <w:lang w:eastAsia="es-ES"/>
              </w:rPr>
              <w:t>, 25</w:t>
            </w:r>
          </w:p>
        </w:tc>
      </w:tr>
      <w:tr w:rsidR="00A27E10" w:rsidRPr="00A27E10" w14:paraId="736A21D8"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434AFC2C"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E34</w:t>
            </w:r>
            <w:r w:rsidRPr="00A27E10">
              <w:rPr>
                <w:rFonts w:ascii="Calibri" w:eastAsia="Times New Roman" w:hAnsi="Calibri" w:cs="Calibri"/>
                <w:bCs/>
                <w:color w:val="000000"/>
                <w:lang w:eastAsia="es-ES"/>
              </w:rPr>
              <w:t xml:space="preserve"> - Inversión/subvenciones destinadas a la infraestructura aeroportuaria, con excepción de medidas de mitigación del impacto medioambiental</w:t>
            </w:r>
          </w:p>
        </w:tc>
        <w:tc>
          <w:tcPr>
            <w:tcW w:w="6379" w:type="dxa"/>
            <w:tcBorders>
              <w:top w:val="nil"/>
              <w:left w:val="nil"/>
              <w:bottom w:val="single" w:sz="4" w:space="0" w:color="auto"/>
              <w:right w:val="single" w:sz="4" w:space="0" w:color="auto"/>
            </w:tcBorders>
            <w:shd w:val="clear" w:color="000000" w:fill="FFF2CC"/>
            <w:vAlign w:val="center"/>
            <w:hideMark/>
          </w:tcPr>
          <w:p w14:paraId="2EB9013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Se excluyen aquellas destinadas a mitigar el impacto climático de la actividad aeroportuaria</w:t>
            </w:r>
          </w:p>
        </w:tc>
        <w:tc>
          <w:tcPr>
            <w:tcW w:w="3742" w:type="dxa"/>
            <w:tcBorders>
              <w:top w:val="nil"/>
              <w:left w:val="nil"/>
              <w:bottom w:val="single" w:sz="4" w:space="0" w:color="auto"/>
              <w:right w:val="single" w:sz="4" w:space="0" w:color="auto"/>
            </w:tcBorders>
            <w:shd w:val="clear" w:color="000000" w:fill="FFF2CC"/>
            <w:vAlign w:val="center"/>
            <w:hideMark/>
          </w:tcPr>
          <w:p w14:paraId="0A6FB38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7A463B9E" w14:textId="0AA65012"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w:t>
            </w:r>
            <w:r w:rsidR="00602B62">
              <w:rPr>
                <w:rFonts w:ascii="Calibri" w:eastAsia="Times New Roman" w:hAnsi="Calibri" w:cs="Calibri"/>
                <w:color w:val="000000"/>
                <w:lang w:eastAsia="es-ES"/>
              </w:rPr>
              <w:t>, 25</w:t>
            </w:r>
          </w:p>
        </w:tc>
      </w:tr>
      <w:tr w:rsidR="00A27E10" w:rsidRPr="00A27E10" w14:paraId="0428FA9A"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49A148A4"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E35</w:t>
            </w:r>
            <w:r w:rsidRPr="00A27E10">
              <w:rPr>
                <w:rFonts w:ascii="Calibri" w:eastAsia="Times New Roman" w:hAnsi="Calibri" w:cs="Calibri"/>
                <w:bCs/>
                <w:color w:val="000000"/>
                <w:lang w:eastAsia="es-ES"/>
              </w:rPr>
              <w:t xml:space="preserve"> - Subvenciones a los aparcamientos en áreas urbanas no destinados al transporte multimodal</w:t>
            </w:r>
          </w:p>
        </w:tc>
        <w:tc>
          <w:tcPr>
            <w:tcW w:w="6379" w:type="dxa"/>
            <w:tcBorders>
              <w:top w:val="nil"/>
              <w:left w:val="nil"/>
              <w:bottom w:val="single" w:sz="4" w:space="0" w:color="auto"/>
              <w:right w:val="single" w:sz="4" w:space="0" w:color="auto"/>
            </w:tcBorders>
            <w:shd w:val="clear" w:color="000000" w:fill="FFF2CC"/>
            <w:noWrap/>
            <w:vAlign w:val="center"/>
            <w:hideMark/>
          </w:tcPr>
          <w:p w14:paraId="4B6C881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1DAD529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1D453C5A" w14:textId="4710E196"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w:t>
            </w:r>
            <w:r w:rsidR="00602B62">
              <w:rPr>
                <w:rFonts w:ascii="Calibri" w:eastAsia="Times New Roman" w:hAnsi="Calibri" w:cs="Calibri"/>
                <w:color w:val="000000"/>
                <w:lang w:eastAsia="es-ES"/>
              </w:rPr>
              <w:t>, 25</w:t>
            </w:r>
          </w:p>
        </w:tc>
      </w:tr>
      <w:tr w:rsidR="00A27E10" w:rsidRPr="00A27E10" w14:paraId="72023CB3" w14:textId="77777777" w:rsidTr="006822AF">
        <w:trPr>
          <w:trHeight w:val="3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33229860"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E36</w:t>
            </w:r>
            <w:r w:rsidRPr="00A27E10">
              <w:rPr>
                <w:rFonts w:ascii="Calibri" w:eastAsia="Times New Roman" w:hAnsi="Calibri" w:cs="Calibri"/>
                <w:bCs/>
                <w:color w:val="000000"/>
                <w:lang w:eastAsia="es-ES"/>
              </w:rPr>
              <w:t xml:space="preserve"> - Bonificaciones a los peajes en carreteras</w:t>
            </w:r>
          </w:p>
        </w:tc>
        <w:tc>
          <w:tcPr>
            <w:tcW w:w="6379" w:type="dxa"/>
            <w:tcBorders>
              <w:top w:val="nil"/>
              <w:left w:val="nil"/>
              <w:bottom w:val="single" w:sz="4" w:space="0" w:color="auto"/>
              <w:right w:val="single" w:sz="4" w:space="0" w:color="auto"/>
            </w:tcBorders>
            <w:shd w:val="clear" w:color="000000" w:fill="FFF2CC"/>
            <w:noWrap/>
            <w:vAlign w:val="center"/>
            <w:hideMark/>
          </w:tcPr>
          <w:p w14:paraId="513C57B7"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12FDF43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p>
        </w:tc>
        <w:tc>
          <w:tcPr>
            <w:tcW w:w="936" w:type="dxa"/>
            <w:tcBorders>
              <w:top w:val="nil"/>
              <w:left w:val="nil"/>
              <w:bottom w:val="single" w:sz="4" w:space="0" w:color="auto"/>
              <w:right w:val="single" w:sz="8" w:space="0" w:color="auto"/>
            </w:tcBorders>
            <w:shd w:val="clear" w:color="000000" w:fill="FFF2CC"/>
            <w:vAlign w:val="center"/>
            <w:hideMark/>
          </w:tcPr>
          <w:p w14:paraId="338E37DF" w14:textId="3E2D4F9B"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w:t>
            </w:r>
            <w:r w:rsidR="00602B62">
              <w:rPr>
                <w:rFonts w:ascii="Calibri" w:eastAsia="Times New Roman" w:hAnsi="Calibri" w:cs="Calibri"/>
                <w:color w:val="000000"/>
                <w:lang w:eastAsia="es-ES"/>
              </w:rPr>
              <w:t>, 25</w:t>
            </w:r>
          </w:p>
        </w:tc>
      </w:tr>
      <w:tr w:rsidR="00A27E10" w:rsidRPr="00A27E10" w14:paraId="6FBA2FC0"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5ADFA54C"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E37</w:t>
            </w:r>
            <w:r w:rsidRPr="00A27E10">
              <w:rPr>
                <w:rFonts w:ascii="Calibri" w:eastAsia="Times New Roman" w:hAnsi="Calibri" w:cs="Calibri"/>
                <w:bCs/>
                <w:color w:val="000000"/>
                <w:lang w:eastAsia="es-ES"/>
              </w:rPr>
              <w:t xml:space="preserve"> - Subvenciones a industrias intensivas en combustibles fósiles</w:t>
            </w:r>
          </w:p>
        </w:tc>
        <w:tc>
          <w:tcPr>
            <w:tcW w:w="6379" w:type="dxa"/>
            <w:tcBorders>
              <w:top w:val="nil"/>
              <w:left w:val="nil"/>
              <w:bottom w:val="single" w:sz="4" w:space="0" w:color="auto"/>
              <w:right w:val="single" w:sz="4" w:space="0" w:color="auto"/>
            </w:tcBorders>
            <w:shd w:val="clear" w:color="000000" w:fill="FFF2CC"/>
            <w:vAlign w:val="center"/>
            <w:hideMark/>
          </w:tcPr>
          <w:p w14:paraId="50D541A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Se incluyen tanto las subvenciones como las aportaciones patrimoniales a estas empresas.</w:t>
            </w:r>
          </w:p>
        </w:tc>
        <w:tc>
          <w:tcPr>
            <w:tcW w:w="3742" w:type="dxa"/>
            <w:tcBorders>
              <w:top w:val="nil"/>
              <w:left w:val="nil"/>
              <w:bottom w:val="single" w:sz="4" w:space="0" w:color="auto"/>
              <w:right w:val="single" w:sz="4" w:space="0" w:color="auto"/>
            </w:tcBorders>
            <w:shd w:val="clear" w:color="000000" w:fill="FFF2CC"/>
            <w:vAlign w:val="center"/>
            <w:hideMark/>
          </w:tcPr>
          <w:p w14:paraId="2043A25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5DB7D02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1680DEF1" w14:textId="77777777" w:rsidTr="006822AF">
        <w:trPr>
          <w:trHeight w:val="2211"/>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54C6DE0C"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E38</w:t>
            </w:r>
            <w:r w:rsidRPr="00A27E10">
              <w:rPr>
                <w:rFonts w:ascii="Calibri" w:eastAsia="Times New Roman" w:hAnsi="Calibri" w:cs="Calibri"/>
                <w:bCs/>
                <w:color w:val="000000"/>
                <w:lang w:eastAsia="es-ES"/>
              </w:rPr>
              <w:t xml:space="preserve"> - Inversiones en las actividades y activos industriales sujetos al marco del régimen de comercio de derechos de emisión de la UE (RCDE)</w:t>
            </w:r>
          </w:p>
        </w:tc>
        <w:tc>
          <w:tcPr>
            <w:tcW w:w="6379" w:type="dxa"/>
            <w:tcBorders>
              <w:top w:val="nil"/>
              <w:left w:val="nil"/>
              <w:bottom w:val="single" w:sz="4" w:space="0" w:color="auto"/>
              <w:right w:val="single" w:sz="4" w:space="0" w:color="auto"/>
            </w:tcBorders>
            <w:shd w:val="clear" w:color="000000" w:fill="FFF2CC"/>
            <w:vAlign w:val="center"/>
            <w:hideMark/>
          </w:tcPr>
          <w:p w14:paraId="6C415197"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Solo se considerarán perjudiciales aquellas actividades en relación con las cuales se prevea que las emisiones de gases de efecto invernadero que van a provocar no se situarán por debajo de los parámetros de referencia establecidos para la asignación gratuita de actividades incluidas en el ámbito de aplicación del régimen de comercio de derechos de emisión, según lo dispuesto en el Reglamento de Ejecución (UE) 2021/447 de la Comisión</w:t>
            </w:r>
          </w:p>
        </w:tc>
        <w:tc>
          <w:tcPr>
            <w:tcW w:w="3742" w:type="dxa"/>
            <w:tcBorders>
              <w:top w:val="nil"/>
              <w:left w:val="nil"/>
              <w:bottom w:val="single" w:sz="4" w:space="0" w:color="auto"/>
              <w:right w:val="single" w:sz="4" w:space="0" w:color="auto"/>
            </w:tcBorders>
            <w:shd w:val="clear" w:color="000000" w:fill="FFF2CC"/>
            <w:vAlign w:val="center"/>
            <w:hideMark/>
          </w:tcPr>
          <w:p w14:paraId="20E408E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6735D031"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166BDA41" w14:textId="77777777" w:rsidTr="006822AF">
        <w:trPr>
          <w:trHeight w:val="1191"/>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8F56FAE"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E39</w:t>
            </w:r>
            <w:r w:rsidRPr="00A27E10">
              <w:rPr>
                <w:rFonts w:ascii="Calibri" w:eastAsia="Times New Roman" w:hAnsi="Calibri" w:cs="Calibri"/>
                <w:bCs/>
                <w:color w:val="000000"/>
                <w:lang w:eastAsia="es-ES"/>
              </w:rPr>
              <w:t xml:space="preserve"> - Subvenciones a industrias perjudiciales para el medio ambiente</w:t>
            </w:r>
          </w:p>
        </w:tc>
        <w:tc>
          <w:tcPr>
            <w:tcW w:w="6379" w:type="dxa"/>
            <w:tcBorders>
              <w:top w:val="nil"/>
              <w:left w:val="nil"/>
              <w:bottom w:val="single" w:sz="4" w:space="0" w:color="auto"/>
              <w:right w:val="single" w:sz="4" w:space="0" w:color="auto"/>
            </w:tcBorders>
            <w:shd w:val="clear" w:color="000000" w:fill="FFF2CC"/>
            <w:vAlign w:val="center"/>
            <w:hideMark/>
          </w:tcPr>
          <w:p w14:paraId="2ACA65E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Se consideran muy contaminantes las que están sometidas una autorización ambiental integrada, tales como instalaciones de combustión alimentadas con combustibles fósiles, refinerías de petróleo y gas, vertederos, incineradoras sin recuperación energética, o plantas de tratamiento mecánico-biológico, entre otras.</w:t>
            </w:r>
            <w:r w:rsidRPr="00A27E10">
              <w:rPr>
                <w:rFonts w:ascii="Calibri" w:eastAsia="Times New Roman" w:hAnsi="Calibri" w:cs="Calibri"/>
                <w:lang w:eastAsia="es-ES"/>
              </w:rPr>
              <w:br/>
              <w:t>Las actividades industriales consideradas más contaminantes se encuentran reguladas por el RDL 1/2016, Ley de la prevención y control integrados de la contaminación. Las industrias detalladas en su ANEXO 1 deben disponer de un permiso ambiental concedido por la autoridad competente, para poder llevar a cabo su actividad. Estos permisos recogen los valores límite de emisiones, vertidos y de generación de residuos, mediante la implantación de las mejores técnicas disponibles para prevenir o abatir la contaminación generada por la instalación.</w:t>
            </w:r>
            <w:r w:rsidRPr="00A27E10">
              <w:rPr>
                <w:rFonts w:ascii="Calibri" w:eastAsia="Times New Roman" w:hAnsi="Calibri" w:cs="Calibri"/>
                <w:lang w:eastAsia="es-ES"/>
              </w:rPr>
              <w:br/>
              <w:t>Los posibles proyectos a subvencionar deberían tener como objetivo conseguir reducciones significativas de las emisiones, vertidos o de generación de residuos sobre los valores límites establecidos en su permiso ambiental.</w:t>
            </w:r>
            <w:r w:rsidRPr="00A27E10">
              <w:rPr>
                <w:rFonts w:ascii="Calibri" w:eastAsia="Times New Roman" w:hAnsi="Calibri" w:cs="Calibri"/>
                <w:lang w:eastAsia="es-ES"/>
              </w:rPr>
              <w:br/>
              <w:t>Esto es, si se incentiva con ayudas la actividad, se consideraría gasto marrón. Ahora bien, si la ayuda/inversión fuera destinada a mejorar significativamente los valores de emisiones, vertidos y de generación de residuos respecto a los permitidos, podría considerarse verde.</w:t>
            </w:r>
          </w:p>
        </w:tc>
        <w:tc>
          <w:tcPr>
            <w:tcW w:w="3742" w:type="dxa"/>
            <w:tcBorders>
              <w:top w:val="nil"/>
              <w:left w:val="nil"/>
              <w:bottom w:val="single" w:sz="4" w:space="0" w:color="auto"/>
              <w:right w:val="single" w:sz="4" w:space="0" w:color="auto"/>
            </w:tcBorders>
            <w:shd w:val="clear" w:color="000000" w:fill="FFF2CC"/>
            <w:vAlign w:val="center"/>
            <w:hideMark/>
          </w:tcPr>
          <w:p w14:paraId="31B3A316"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Aportaciones patrimoniales</w:t>
            </w:r>
          </w:p>
        </w:tc>
        <w:tc>
          <w:tcPr>
            <w:tcW w:w="936" w:type="dxa"/>
            <w:tcBorders>
              <w:top w:val="nil"/>
              <w:left w:val="nil"/>
              <w:bottom w:val="single" w:sz="4" w:space="0" w:color="auto"/>
              <w:right w:val="single" w:sz="8" w:space="0" w:color="auto"/>
            </w:tcBorders>
            <w:shd w:val="clear" w:color="000000" w:fill="FFF2CC"/>
            <w:vAlign w:val="center"/>
            <w:hideMark/>
          </w:tcPr>
          <w:p w14:paraId="538452D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640E5480" w14:textId="77777777" w:rsidTr="006822AF">
        <w:trPr>
          <w:trHeight w:val="4365"/>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42A0ADA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E40</w:t>
            </w:r>
            <w:r w:rsidRPr="00A27E10">
              <w:rPr>
                <w:rFonts w:ascii="Calibri" w:eastAsia="Times New Roman" w:hAnsi="Calibri" w:cs="Calibri"/>
                <w:bCs/>
                <w:color w:val="000000"/>
                <w:lang w:eastAsia="es-ES"/>
              </w:rPr>
              <w:t xml:space="preserve"> - Ayudas/subvenciones a instalaciones, procesos o sustancias químicas de alta energía y muy contaminantes</w:t>
            </w:r>
          </w:p>
        </w:tc>
        <w:tc>
          <w:tcPr>
            <w:tcW w:w="6379" w:type="dxa"/>
            <w:tcBorders>
              <w:top w:val="nil"/>
              <w:left w:val="nil"/>
              <w:bottom w:val="single" w:sz="4" w:space="0" w:color="auto"/>
              <w:right w:val="single" w:sz="4" w:space="0" w:color="auto"/>
            </w:tcBorders>
            <w:shd w:val="clear" w:color="000000" w:fill="FFF2CC"/>
            <w:vAlign w:val="center"/>
            <w:hideMark/>
          </w:tcPr>
          <w:p w14:paraId="2932C8CB"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El Reglamento REACH (reglamento 1907/2006) de 18 de diciembre de 2006, relativo al registro, la evaluación, la autorización y la restricción de las sustancias y preparados químicos, recoge sustancias de alta preocupación recogidas en una lista de sustancias candidatas, así identificadas por su elevado riesgo para la salud y/o el medio ambiente. Estas sustancias no tienen por qué considerarse muy contaminantes en caso en el que se empleen medidas de gestión del riesgo adecuadas para minimizar sus emisiones.</w:t>
            </w:r>
            <w:r w:rsidRPr="00A27E10">
              <w:rPr>
                <w:rFonts w:ascii="Calibri" w:eastAsia="Times New Roman" w:hAnsi="Calibri" w:cs="Calibri"/>
                <w:lang w:eastAsia="es-ES"/>
              </w:rPr>
              <w:br/>
              <w:t xml:space="preserve">Se considerarían ejemplos más contaminantes instalaciones, procesos, equipos o sustancias solas, en mezcla o en productos que incluyan compuestos orgánicos volátiles (dioxinas, y otras), pesticidas, </w:t>
            </w:r>
            <w:proofErr w:type="spellStart"/>
            <w:r w:rsidRPr="00A27E10">
              <w:rPr>
                <w:rFonts w:ascii="Calibri" w:eastAsia="Times New Roman" w:hAnsi="Calibri" w:cs="Calibri"/>
                <w:lang w:eastAsia="es-ES"/>
              </w:rPr>
              <w:t>PCBs</w:t>
            </w:r>
            <w:proofErr w:type="spellEnd"/>
            <w:r w:rsidRPr="00A27E10">
              <w:rPr>
                <w:rFonts w:ascii="Calibri" w:eastAsia="Times New Roman" w:hAnsi="Calibri" w:cs="Calibri"/>
                <w:lang w:eastAsia="es-ES"/>
              </w:rPr>
              <w:t xml:space="preserve"> (prohibidos por Real Decreto 1378/1999), nitratos, fosfatos y metales pesados (arsénico, cadmio, cobre, mercurio, níquel, zinc, cromo y plomo), o contaminantes orgánicos persistentes (COP) del Anexo 1 del Reglamento (UE) 2019/1021.</w:t>
            </w:r>
          </w:p>
        </w:tc>
        <w:tc>
          <w:tcPr>
            <w:tcW w:w="3742" w:type="dxa"/>
            <w:tcBorders>
              <w:top w:val="nil"/>
              <w:left w:val="nil"/>
              <w:bottom w:val="single" w:sz="4" w:space="0" w:color="auto"/>
              <w:right w:val="single" w:sz="4" w:space="0" w:color="auto"/>
            </w:tcBorders>
            <w:shd w:val="clear" w:color="000000" w:fill="FFF2CC"/>
            <w:vAlign w:val="center"/>
            <w:hideMark/>
          </w:tcPr>
          <w:p w14:paraId="1C4DE785"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73B78FA3"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49B03DF0" w14:textId="77777777" w:rsidTr="006822AF">
        <w:trPr>
          <w:trHeight w:val="1129"/>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14CCAF1C"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E41</w:t>
            </w:r>
            <w:r w:rsidRPr="00A27E10">
              <w:rPr>
                <w:rFonts w:ascii="Calibri" w:eastAsia="Times New Roman" w:hAnsi="Calibri" w:cs="Calibri"/>
                <w:bCs/>
                <w:color w:val="000000"/>
                <w:lang w:eastAsia="es-ES"/>
              </w:rPr>
              <w:t xml:space="preserve"> - Financiación de I+D en la industria del carbón y petróleo, salvo propósito de mejora medioambiental</w:t>
            </w:r>
          </w:p>
        </w:tc>
        <w:tc>
          <w:tcPr>
            <w:tcW w:w="6379" w:type="dxa"/>
            <w:tcBorders>
              <w:top w:val="nil"/>
              <w:left w:val="nil"/>
              <w:bottom w:val="single" w:sz="4" w:space="0" w:color="auto"/>
              <w:right w:val="single" w:sz="4" w:space="0" w:color="auto"/>
            </w:tcBorders>
            <w:shd w:val="clear" w:color="000000" w:fill="FFF2CC"/>
            <w:noWrap/>
            <w:vAlign w:val="center"/>
            <w:hideMark/>
          </w:tcPr>
          <w:p w14:paraId="0B667B46"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7593E57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45D64F62"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20, 28</w:t>
            </w:r>
          </w:p>
        </w:tc>
      </w:tr>
      <w:tr w:rsidR="00A27E10" w:rsidRPr="00A27E10" w14:paraId="6FB21FBF"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09450A24"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E42</w:t>
            </w:r>
            <w:r w:rsidRPr="00A27E10">
              <w:rPr>
                <w:rFonts w:ascii="Calibri" w:eastAsia="Times New Roman" w:hAnsi="Calibri" w:cs="Calibri"/>
                <w:bCs/>
                <w:color w:val="000000"/>
                <w:lang w:eastAsia="es-ES"/>
              </w:rPr>
              <w:t xml:space="preserve"> - Apoyo a actividades de desarrollo de minas</w:t>
            </w:r>
          </w:p>
        </w:tc>
        <w:tc>
          <w:tcPr>
            <w:tcW w:w="6379" w:type="dxa"/>
            <w:tcBorders>
              <w:top w:val="nil"/>
              <w:left w:val="nil"/>
              <w:bottom w:val="single" w:sz="4" w:space="0" w:color="auto"/>
              <w:right w:val="single" w:sz="4" w:space="0" w:color="auto"/>
            </w:tcBorders>
            <w:shd w:val="clear" w:color="000000" w:fill="FFF2CC"/>
            <w:noWrap/>
            <w:vAlign w:val="center"/>
            <w:hideMark/>
          </w:tcPr>
          <w:p w14:paraId="38A2B469"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54EFF5DD"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14B7F156"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20, 23, 28</w:t>
            </w:r>
          </w:p>
        </w:tc>
      </w:tr>
      <w:tr w:rsidR="00A27E10" w:rsidRPr="00A27E10" w14:paraId="1CB29C83"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1F78C25F"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E43</w:t>
            </w:r>
            <w:r w:rsidRPr="00A27E10">
              <w:rPr>
                <w:rFonts w:ascii="Calibri" w:eastAsia="Times New Roman" w:hAnsi="Calibri" w:cs="Calibri"/>
                <w:bCs/>
                <w:color w:val="000000"/>
                <w:lang w:eastAsia="es-ES"/>
              </w:rPr>
              <w:t xml:space="preserve"> - Inversión/ayudas para aumentar la capacidad de las instalaciones para el tratamiento de residuos</w:t>
            </w:r>
          </w:p>
        </w:tc>
        <w:tc>
          <w:tcPr>
            <w:tcW w:w="6379" w:type="dxa"/>
            <w:tcBorders>
              <w:top w:val="nil"/>
              <w:left w:val="nil"/>
              <w:bottom w:val="single" w:sz="4" w:space="0" w:color="auto"/>
              <w:right w:val="single" w:sz="4" w:space="0" w:color="auto"/>
            </w:tcBorders>
            <w:shd w:val="clear" w:color="000000" w:fill="FFF2CC"/>
            <w:vAlign w:val="center"/>
            <w:hideMark/>
          </w:tcPr>
          <w:p w14:paraId="76C58436"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No se considerarán perjudiciales las inversiones relacionadas con fines de economía circular</w:t>
            </w:r>
          </w:p>
        </w:tc>
        <w:tc>
          <w:tcPr>
            <w:tcW w:w="3742" w:type="dxa"/>
            <w:tcBorders>
              <w:top w:val="nil"/>
              <w:left w:val="nil"/>
              <w:bottom w:val="single" w:sz="4" w:space="0" w:color="auto"/>
              <w:right w:val="single" w:sz="4" w:space="0" w:color="auto"/>
            </w:tcBorders>
            <w:shd w:val="clear" w:color="000000" w:fill="FFF2CC"/>
            <w:vAlign w:val="center"/>
            <w:hideMark/>
          </w:tcPr>
          <w:p w14:paraId="126DF35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1F1C5341" w14:textId="77777777"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20, 23</w:t>
            </w:r>
          </w:p>
        </w:tc>
      </w:tr>
      <w:tr w:rsidR="00A27E10" w:rsidRPr="00A27E10" w14:paraId="7C9711C6"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0B2B146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E44</w:t>
            </w:r>
            <w:r w:rsidRPr="00A27E10">
              <w:rPr>
                <w:rFonts w:ascii="Calibri" w:eastAsia="Times New Roman" w:hAnsi="Calibri" w:cs="Calibri"/>
                <w:bCs/>
                <w:color w:val="000000"/>
                <w:lang w:eastAsia="es-ES"/>
              </w:rPr>
              <w:t xml:space="preserve"> - Inversiones en plantas de tratamiento mecánico-biológico, incineradoras y/o vertederos</w:t>
            </w:r>
          </w:p>
        </w:tc>
        <w:tc>
          <w:tcPr>
            <w:tcW w:w="6379" w:type="dxa"/>
            <w:tcBorders>
              <w:top w:val="nil"/>
              <w:left w:val="nil"/>
              <w:bottom w:val="single" w:sz="4" w:space="0" w:color="auto"/>
              <w:right w:val="single" w:sz="4" w:space="0" w:color="auto"/>
            </w:tcBorders>
            <w:shd w:val="clear" w:color="000000" w:fill="FFF2CC"/>
            <w:noWrap/>
            <w:vAlign w:val="center"/>
            <w:hideMark/>
          </w:tcPr>
          <w:p w14:paraId="0EBA597C"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1E07A80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26C55D3F"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20, 23</w:t>
            </w:r>
          </w:p>
        </w:tc>
      </w:tr>
      <w:tr w:rsidR="00A27E10" w:rsidRPr="00A27E10" w14:paraId="6FBF04B4"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4A91DB9B"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E45</w:t>
            </w:r>
            <w:r w:rsidRPr="00A27E10">
              <w:rPr>
                <w:rFonts w:ascii="Calibri" w:eastAsia="Times New Roman" w:hAnsi="Calibri" w:cs="Calibri"/>
                <w:bCs/>
                <w:color w:val="000000"/>
                <w:lang w:eastAsia="es-ES"/>
              </w:rPr>
              <w:t xml:space="preserve"> - Subvenciones a operaciones de navegación aérea y al transporte aéreo</w:t>
            </w:r>
          </w:p>
        </w:tc>
        <w:tc>
          <w:tcPr>
            <w:tcW w:w="6379" w:type="dxa"/>
            <w:tcBorders>
              <w:top w:val="nil"/>
              <w:left w:val="nil"/>
              <w:bottom w:val="single" w:sz="4" w:space="0" w:color="auto"/>
              <w:right w:val="single" w:sz="4" w:space="0" w:color="auto"/>
            </w:tcBorders>
            <w:shd w:val="clear" w:color="000000" w:fill="FFF2CC"/>
            <w:noWrap/>
            <w:vAlign w:val="center"/>
            <w:hideMark/>
          </w:tcPr>
          <w:p w14:paraId="58A29AC1" w14:textId="77777777" w:rsidR="00A27E10" w:rsidRPr="00A27E10" w:rsidRDefault="00A27E10" w:rsidP="00A27E10">
            <w:pPr>
              <w:spacing w:after="0" w:line="240" w:lineRule="auto"/>
              <w:rPr>
                <w:rFonts w:ascii="Calibri" w:eastAsia="Times New Roman" w:hAnsi="Calibri" w:cs="Calibri"/>
                <w:color w:val="FF0000"/>
                <w:lang w:eastAsia="es-ES"/>
              </w:rPr>
            </w:pPr>
            <w:r w:rsidRPr="00A27E10">
              <w:rPr>
                <w:rFonts w:ascii="Calibri" w:eastAsia="Times New Roman" w:hAnsi="Calibri" w:cs="Calibri"/>
                <w:color w:val="FF0000"/>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7117C8F5"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38855FF5" w14:textId="1DE513F4"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14, 17</w:t>
            </w:r>
            <w:r w:rsidR="00602B62">
              <w:rPr>
                <w:rFonts w:ascii="Calibri" w:eastAsia="Times New Roman" w:hAnsi="Calibri" w:cs="Calibri"/>
                <w:color w:val="000000"/>
                <w:lang w:eastAsia="es-ES"/>
              </w:rPr>
              <w:t>, 25</w:t>
            </w:r>
          </w:p>
        </w:tc>
      </w:tr>
      <w:tr w:rsidR="00A27E10" w:rsidRPr="00A27E10" w14:paraId="57F328DF"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0E247145"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E46</w:t>
            </w:r>
            <w:r w:rsidRPr="00A27E10">
              <w:rPr>
                <w:rFonts w:ascii="Calibri" w:eastAsia="Times New Roman" w:hAnsi="Calibri" w:cs="Calibri"/>
                <w:bCs/>
                <w:color w:val="000000"/>
                <w:lang w:eastAsia="es-ES"/>
              </w:rPr>
              <w:t xml:space="preserve"> - Subvenciones a operaciones de navegación marítima y al transporte marítimo</w:t>
            </w:r>
          </w:p>
        </w:tc>
        <w:tc>
          <w:tcPr>
            <w:tcW w:w="6379" w:type="dxa"/>
            <w:tcBorders>
              <w:top w:val="nil"/>
              <w:left w:val="nil"/>
              <w:bottom w:val="single" w:sz="4" w:space="0" w:color="auto"/>
              <w:right w:val="single" w:sz="4" w:space="0" w:color="auto"/>
            </w:tcBorders>
            <w:shd w:val="clear" w:color="000000" w:fill="FFF2CC"/>
            <w:noWrap/>
            <w:vAlign w:val="center"/>
            <w:hideMark/>
          </w:tcPr>
          <w:p w14:paraId="271A0B8E"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2D3A15DD"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28657982" w14:textId="6799D996"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w:t>
            </w:r>
            <w:r w:rsidR="00C14588">
              <w:rPr>
                <w:rFonts w:ascii="Calibri" w:eastAsia="Times New Roman" w:hAnsi="Calibri" w:cs="Calibri"/>
                <w:color w:val="000000"/>
                <w:lang w:eastAsia="es-ES"/>
              </w:rPr>
              <w:t>, 25</w:t>
            </w:r>
          </w:p>
        </w:tc>
      </w:tr>
      <w:tr w:rsidR="00A27E10" w:rsidRPr="00A27E10" w14:paraId="53943B30"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673D924"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E47</w:t>
            </w:r>
            <w:r w:rsidRPr="00A27E10">
              <w:rPr>
                <w:rFonts w:ascii="Calibri" w:eastAsia="Times New Roman" w:hAnsi="Calibri" w:cs="Calibri"/>
                <w:bCs/>
                <w:color w:val="000000"/>
                <w:lang w:eastAsia="es-ES"/>
              </w:rPr>
              <w:t xml:space="preserve"> - Adquisición de terrenos para la construcción</w:t>
            </w:r>
          </w:p>
        </w:tc>
        <w:tc>
          <w:tcPr>
            <w:tcW w:w="6379" w:type="dxa"/>
            <w:tcBorders>
              <w:top w:val="nil"/>
              <w:left w:val="nil"/>
              <w:bottom w:val="single" w:sz="4" w:space="0" w:color="auto"/>
              <w:right w:val="single" w:sz="4" w:space="0" w:color="auto"/>
            </w:tcBorders>
            <w:shd w:val="clear" w:color="000000" w:fill="FFF2CC"/>
            <w:noWrap/>
            <w:vAlign w:val="center"/>
            <w:hideMark/>
          </w:tcPr>
          <w:p w14:paraId="18159DD4" w14:textId="77777777" w:rsidR="00FE53DA"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39"/>
            </w:tblGrid>
            <w:tr w:rsidR="00FE53DA" w:rsidRPr="00FE53DA" w14:paraId="150CAF8B" w14:textId="77777777">
              <w:trPr>
                <w:tblCellSpacing w:w="15" w:type="dxa"/>
              </w:trPr>
              <w:tc>
                <w:tcPr>
                  <w:tcW w:w="0" w:type="auto"/>
                  <w:vAlign w:val="center"/>
                  <w:hideMark/>
                </w:tcPr>
                <w:p w14:paraId="10548205" w14:textId="2A41E553" w:rsidR="00FE53DA" w:rsidRPr="00FE53DA" w:rsidRDefault="00FE53DA" w:rsidP="009E09D0">
                  <w:pPr>
                    <w:spacing w:after="0" w:line="240" w:lineRule="auto"/>
                    <w:jc w:val="both"/>
                    <w:rPr>
                      <w:rFonts w:ascii="Calibri" w:eastAsia="Times New Roman" w:hAnsi="Calibri" w:cs="Calibri"/>
                      <w:lang w:eastAsia="es-ES"/>
                    </w:rPr>
                  </w:pPr>
                  <w:r w:rsidRPr="00FE53DA">
                    <w:rPr>
                      <w:rFonts w:ascii="Calibri" w:eastAsia="Times New Roman" w:hAnsi="Calibri" w:cs="Calibri"/>
                      <w:lang w:eastAsia="es-ES"/>
                    </w:rPr>
                    <w:t>Se considerará como no sostenible aquellas adquisiciones de terrenos para la construcción que conlleven un cambio de uso del suelo.</w:t>
                  </w:r>
                </w:p>
              </w:tc>
            </w:tr>
          </w:tbl>
          <w:p w14:paraId="455E03A8" w14:textId="1E114876" w:rsidR="00A27E10" w:rsidRPr="00A27E10" w:rsidRDefault="00A27E10" w:rsidP="00A27E10">
            <w:pPr>
              <w:spacing w:after="0" w:line="240" w:lineRule="auto"/>
              <w:rPr>
                <w:rFonts w:ascii="Calibri" w:eastAsia="Times New Roman" w:hAnsi="Calibri" w:cs="Calibri"/>
                <w:lang w:eastAsia="es-ES"/>
              </w:rPr>
            </w:pPr>
          </w:p>
        </w:tc>
        <w:tc>
          <w:tcPr>
            <w:tcW w:w="3742" w:type="dxa"/>
            <w:tcBorders>
              <w:top w:val="nil"/>
              <w:left w:val="nil"/>
              <w:bottom w:val="single" w:sz="4" w:space="0" w:color="auto"/>
              <w:right w:val="single" w:sz="4" w:space="0" w:color="auto"/>
            </w:tcBorders>
            <w:shd w:val="clear" w:color="000000" w:fill="FFF2CC"/>
            <w:vAlign w:val="center"/>
            <w:hideMark/>
          </w:tcPr>
          <w:p w14:paraId="42BF2C1B"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Art. 60 Inversión nueva en infraestructuras y otros bienes destinados al uso general</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3B0BED1D" w14:textId="13EF82C6"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17, 23,</w:t>
            </w:r>
            <w:r w:rsidR="00C14588">
              <w:rPr>
                <w:rFonts w:ascii="Calibri" w:eastAsia="Times New Roman" w:hAnsi="Calibri" w:cs="Calibri"/>
                <w:lang w:eastAsia="es-ES"/>
              </w:rPr>
              <w:t xml:space="preserve"> 25</w:t>
            </w:r>
          </w:p>
        </w:tc>
      </w:tr>
      <w:tr w:rsidR="00A27E10" w:rsidRPr="00A27E10" w14:paraId="183E49FC" w14:textId="77777777" w:rsidTr="006822AF">
        <w:trPr>
          <w:trHeight w:val="1215"/>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78AF8F7A"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E48</w:t>
            </w:r>
            <w:r w:rsidRPr="00A27E10">
              <w:rPr>
                <w:rFonts w:ascii="Calibri" w:eastAsia="Times New Roman" w:hAnsi="Calibri" w:cs="Calibri"/>
                <w:bCs/>
                <w:color w:val="000000"/>
                <w:lang w:eastAsia="es-ES"/>
              </w:rPr>
              <w:t xml:space="preserve"> - Apoyo a actividades turísticas no sostenibles</w:t>
            </w:r>
          </w:p>
        </w:tc>
        <w:tc>
          <w:tcPr>
            <w:tcW w:w="6379" w:type="dxa"/>
            <w:tcBorders>
              <w:top w:val="nil"/>
              <w:left w:val="nil"/>
              <w:bottom w:val="single" w:sz="4" w:space="0" w:color="auto"/>
              <w:right w:val="single" w:sz="4" w:space="0" w:color="auto"/>
            </w:tcBorders>
            <w:shd w:val="clear" w:color="000000" w:fill="FFF2CC"/>
            <w:noWrap/>
            <w:vAlign w:val="center"/>
            <w:hideMark/>
          </w:tcPr>
          <w:p w14:paraId="022042D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Ejemplos de estas actividades serían: esquí, viajes aéreos o la artificialización costera</w:t>
            </w:r>
          </w:p>
        </w:tc>
        <w:tc>
          <w:tcPr>
            <w:tcW w:w="3742" w:type="dxa"/>
            <w:tcBorders>
              <w:top w:val="nil"/>
              <w:left w:val="nil"/>
              <w:bottom w:val="single" w:sz="4" w:space="0" w:color="auto"/>
              <w:right w:val="single" w:sz="4" w:space="0" w:color="auto"/>
            </w:tcBorders>
            <w:shd w:val="clear" w:color="000000" w:fill="FFF2CC"/>
            <w:vAlign w:val="center"/>
            <w:hideMark/>
          </w:tcPr>
          <w:p w14:paraId="2AB208C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0B06A03F" w14:textId="0CA5A591"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17, 20, 23</w:t>
            </w:r>
            <w:r w:rsidR="00C14588">
              <w:rPr>
                <w:rFonts w:ascii="Calibri" w:eastAsia="Times New Roman" w:hAnsi="Calibri" w:cs="Calibri"/>
                <w:lang w:eastAsia="es-ES"/>
              </w:rPr>
              <w:t>, 25</w:t>
            </w:r>
            <w:r w:rsidRPr="00A27E10">
              <w:rPr>
                <w:rFonts w:ascii="Calibri" w:eastAsia="Times New Roman" w:hAnsi="Calibri" w:cs="Calibri"/>
                <w:lang w:eastAsia="es-ES"/>
              </w:rPr>
              <w:t xml:space="preserve"> </w:t>
            </w:r>
          </w:p>
        </w:tc>
      </w:tr>
      <w:tr w:rsidR="00A27E10" w:rsidRPr="00A27E10" w14:paraId="536404F5" w14:textId="77777777" w:rsidTr="006822AF">
        <w:trPr>
          <w:trHeight w:val="1015"/>
        </w:trPr>
        <w:tc>
          <w:tcPr>
            <w:tcW w:w="3397" w:type="dxa"/>
            <w:tcBorders>
              <w:top w:val="single" w:sz="4" w:space="0" w:color="auto"/>
              <w:left w:val="single" w:sz="4" w:space="0" w:color="auto"/>
              <w:bottom w:val="single" w:sz="8" w:space="0" w:color="auto"/>
              <w:right w:val="single" w:sz="4" w:space="0" w:color="auto"/>
            </w:tcBorders>
            <w:shd w:val="clear" w:color="000000" w:fill="FFF2CC"/>
            <w:vAlign w:val="center"/>
          </w:tcPr>
          <w:p w14:paraId="28A90BC2"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O</w:t>
            </w:r>
            <w:r w:rsidRPr="00A27E10">
              <w:rPr>
                <w:rFonts w:ascii="Calibri" w:eastAsia="Times New Roman" w:hAnsi="Calibri" w:cs="Calibri"/>
                <w:bCs/>
                <w:color w:val="000000"/>
                <w:lang w:eastAsia="es-ES"/>
              </w:rPr>
              <w:t xml:space="preserve"> - Otros</w:t>
            </w:r>
          </w:p>
        </w:tc>
        <w:tc>
          <w:tcPr>
            <w:tcW w:w="6379" w:type="dxa"/>
            <w:tcBorders>
              <w:top w:val="single" w:sz="4" w:space="0" w:color="auto"/>
              <w:left w:val="nil"/>
              <w:bottom w:val="single" w:sz="8" w:space="0" w:color="auto"/>
              <w:right w:val="single" w:sz="4" w:space="0" w:color="auto"/>
            </w:tcBorders>
            <w:shd w:val="clear" w:color="000000" w:fill="FFF2CC"/>
            <w:noWrap/>
            <w:vAlign w:val="center"/>
          </w:tcPr>
          <w:p w14:paraId="7834E8B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Cualquier otro gasto perjudicial para el medioambiente no incluido entre los gastos anteriores. En este caso, use el campo "observaciones" para explicar el gasto.</w:t>
            </w:r>
          </w:p>
        </w:tc>
        <w:tc>
          <w:tcPr>
            <w:tcW w:w="3742" w:type="dxa"/>
            <w:tcBorders>
              <w:top w:val="single" w:sz="4" w:space="0" w:color="auto"/>
              <w:left w:val="nil"/>
              <w:bottom w:val="single" w:sz="8" w:space="0" w:color="auto"/>
              <w:right w:val="single" w:sz="4" w:space="0" w:color="auto"/>
            </w:tcBorders>
            <w:shd w:val="clear" w:color="000000" w:fill="FFF2CC"/>
            <w:vAlign w:val="center"/>
          </w:tcPr>
          <w:p w14:paraId="20CFB8A0"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Capítulos 2, 4, 6, 7, 8</w:t>
            </w:r>
          </w:p>
        </w:tc>
        <w:tc>
          <w:tcPr>
            <w:tcW w:w="936" w:type="dxa"/>
            <w:tcBorders>
              <w:top w:val="single" w:sz="4" w:space="0" w:color="auto"/>
              <w:left w:val="nil"/>
              <w:bottom w:val="single" w:sz="8" w:space="0" w:color="auto"/>
              <w:right w:val="single" w:sz="8" w:space="0" w:color="auto"/>
            </w:tcBorders>
            <w:shd w:val="clear" w:color="000000" w:fill="FFF2CC"/>
            <w:vAlign w:val="center"/>
          </w:tcPr>
          <w:p w14:paraId="5BEAA25F" w14:textId="77777777"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Todas</w:t>
            </w:r>
          </w:p>
        </w:tc>
      </w:tr>
    </w:tbl>
    <w:p w14:paraId="44DE3FC2" w14:textId="0270CE82" w:rsidR="00B8246D" w:rsidRPr="004A658B" w:rsidRDefault="00B8246D" w:rsidP="004C79E4">
      <w:pPr>
        <w:rPr>
          <w:rFonts w:ascii="Arial" w:hAnsi="Arial" w:cs="Arial"/>
        </w:rPr>
      </w:pPr>
    </w:p>
    <w:sectPr w:rsidR="00B8246D" w:rsidRPr="004A658B" w:rsidSect="00A27E10">
      <w:pgSz w:w="16838" w:h="11906" w:orient="landscape"/>
      <w:pgMar w:top="1701" w:right="1417" w:bottom="1701"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0B87E" w14:textId="77777777" w:rsidR="00D5253C" w:rsidRDefault="00D5253C" w:rsidP="00D602EC">
      <w:pPr>
        <w:spacing w:after="0" w:line="240" w:lineRule="auto"/>
      </w:pPr>
      <w:r>
        <w:separator/>
      </w:r>
    </w:p>
  </w:endnote>
  <w:endnote w:type="continuationSeparator" w:id="0">
    <w:p w14:paraId="7048B648" w14:textId="77777777" w:rsidR="00D5253C" w:rsidRDefault="00D5253C" w:rsidP="00D60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F148" w14:textId="40903BC9" w:rsidR="00D5253C" w:rsidRDefault="00D5253C">
    <w:pPr>
      <w:pStyle w:val="Piedepgina"/>
      <w:jc w:val="right"/>
    </w:pPr>
  </w:p>
  <w:p w14:paraId="41E8728E" w14:textId="77777777" w:rsidR="00D5253C" w:rsidRDefault="00D5253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271C6" w14:textId="77777777" w:rsidR="00D5253C" w:rsidRDefault="00D5253C" w:rsidP="00D602EC">
      <w:pPr>
        <w:spacing w:after="0" w:line="240" w:lineRule="auto"/>
      </w:pPr>
      <w:r>
        <w:separator/>
      </w:r>
    </w:p>
  </w:footnote>
  <w:footnote w:type="continuationSeparator" w:id="0">
    <w:p w14:paraId="597DBB5C" w14:textId="77777777" w:rsidR="00D5253C" w:rsidRDefault="00D5253C" w:rsidP="00D602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1C2B" w14:textId="486A7A11" w:rsidR="00D5253C" w:rsidRPr="00470AB9" w:rsidRDefault="00D5253C" w:rsidP="00470AB9">
    <w:pPr>
      <w:pStyle w:val="Encabezado"/>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D77"/>
    <w:multiLevelType w:val="hybridMultilevel"/>
    <w:tmpl w:val="EB468D18"/>
    <w:lvl w:ilvl="0" w:tplc="E8D271A2">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4115F9"/>
    <w:multiLevelType w:val="hybridMultilevel"/>
    <w:tmpl w:val="D1B6B980"/>
    <w:lvl w:ilvl="0" w:tplc="FB22E450">
      <w:numFmt w:val="bullet"/>
      <w:lvlText w:val="-"/>
      <w:lvlJc w:val="left"/>
      <w:pPr>
        <w:ind w:left="720" w:hanging="360"/>
      </w:pPr>
      <w:rPr>
        <w:rFonts w:ascii="Calibri" w:eastAsiaTheme="minorHAnsi" w:hAnsi="Calibri" w:cs="Calibri"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E0A3FA3"/>
    <w:multiLevelType w:val="hybridMultilevel"/>
    <w:tmpl w:val="03D67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3017146"/>
    <w:multiLevelType w:val="hybridMultilevel"/>
    <w:tmpl w:val="C07852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7FE44B7"/>
    <w:multiLevelType w:val="hybridMultilevel"/>
    <w:tmpl w:val="4D38EA06"/>
    <w:lvl w:ilvl="0" w:tplc="A98A82B2">
      <w:numFmt w:val="bullet"/>
      <w:lvlText w:val="-"/>
      <w:lvlJc w:val="left"/>
      <w:pPr>
        <w:ind w:left="1068" w:hanging="360"/>
      </w:pPr>
      <w:rPr>
        <w:rFonts w:ascii="Calibri" w:eastAsiaTheme="minorHAnsi" w:hAnsi="Calibri" w:cs="Calibri"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5" w15:restartNumberingAfterBreak="0">
    <w:nsid w:val="6F0676DA"/>
    <w:multiLevelType w:val="hybridMultilevel"/>
    <w:tmpl w:val="83AA9FD6"/>
    <w:lvl w:ilvl="0" w:tplc="F014C0BC">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43597316">
    <w:abstractNumId w:val="5"/>
  </w:num>
  <w:num w:numId="2" w16cid:durableId="1813599318">
    <w:abstractNumId w:val="1"/>
  </w:num>
  <w:num w:numId="3" w16cid:durableId="684864763">
    <w:abstractNumId w:val="3"/>
  </w:num>
  <w:num w:numId="4" w16cid:durableId="1547720463">
    <w:abstractNumId w:val="0"/>
  </w:num>
  <w:num w:numId="5" w16cid:durableId="1558934932">
    <w:abstractNumId w:val="4"/>
  </w:num>
  <w:num w:numId="6" w16cid:durableId="10305718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0F4"/>
    <w:rsid w:val="00003C56"/>
    <w:rsid w:val="000409A2"/>
    <w:rsid w:val="00040D67"/>
    <w:rsid w:val="0004150C"/>
    <w:rsid w:val="00046386"/>
    <w:rsid w:val="000651E5"/>
    <w:rsid w:val="0009251B"/>
    <w:rsid w:val="000C0747"/>
    <w:rsid w:val="0016115D"/>
    <w:rsid w:val="00163AF8"/>
    <w:rsid w:val="0017223D"/>
    <w:rsid w:val="00191536"/>
    <w:rsid w:val="001A08BF"/>
    <w:rsid w:val="001B33A4"/>
    <w:rsid w:val="001B4025"/>
    <w:rsid w:val="001C55BA"/>
    <w:rsid w:val="001D2C4A"/>
    <w:rsid w:val="001D6E80"/>
    <w:rsid w:val="001E2EA4"/>
    <w:rsid w:val="001F3706"/>
    <w:rsid w:val="001F3918"/>
    <w:rsid w:val="001F5FB8"/>
    <w:rsid w:val="002148F6"/>
    <w:rsid w:val="002303F0"/>
    <w:rsid w:val="002314D8"/>
    <w:rsid w:val="00270773"/>
    <w:rsid w:val="0027789F"/>
    <w:rsid w:val="002B0950"/>
    <w:rsid w:val="002B5F64"/>
    <w:rsid w:val="002D5F15"/>
    <w:rsid w:val="00305DCB"/>
    <w:rsid w:val="003527C0"/>
    <w:rsid w:val="003733AD"/>
    <w:rsid w:val="003800F4"/>
    <w:rsid w:val="00383B6F"/>
    <w:rsid w:val="003A1EA7"/>
    <w:rsid w:val="003B2B0A"/>
    <w:rsid w:val="003B5C5D"/>
    <w:rsid w:val="003C1430"/>
    <w:rsid w:val="003C7571"/>
    <w:rsid w:val="003D0B27"/>
    <w:rsid w:val="003F7FFB"/>
    <w:rsid w:val="00414E5A"/>
    <w:rsid w:val="00424A42"/>
    <w:rsid w:val="004412FF"/>
    <w:rsid w:val="00445DD8"/>
    <w:rsid w:val="004479F7"/>
    <w:rsid w:val="004554CE"/>
    <w:rsid w:val="0047061E"/>
    <w:rsid w:val="00470AB9"/>
    <w:rsid w:val="00471273"/>
    <w:rsid w:val="00481023"/>
    <w:rsid w:val="004A658B"/>
    <w:rsid w:val="004B0F79"/>
    <w:rsid w:val="004B20D9"/>
    <w:rsid w:val="004C79E4"/>
    <w:rsid w:val="004E5B25"/>
    <w:rsid w:val="004F0258"/>
    <w:rsid w:val="00533417"/>
    <w:rsid w:val="0053362A"/>
    <w:rsid w:val="00535302"/>
    <w:rsid w:val="00536373"/>
    <w:rsid w:val="00545747"/>
    <w:rsid w:val="005542B6"/>
    <w:rsid w:val="00583152"/>
    <w:rsid w:val="0058759B"/>
    <w:rsid w:val="00587EBD"/>
    <w:rsid w:val="005C06CA"/>
    <w:rsid w:val="005D06BD"/>
    <w:rsid w:val="00602B62"/>
    <w:rsid w:val="00621D60"/>
    <w:rsid w:val="00650C7A"/>
    <w:rsid w:val="00657651"/>
    <w:rsid w:val="00657F12"/>
    <w:rsid w:val="006716D2"/>
    <w:rsid w:val="00676F6D"/>
    <w:rsid w:val="006822AF"/>
    <w:rsid w:val="006917E9"/>
    <w:rsid w:val="006A1C4F"/>
    <w:rsid w:val="006A2170"/>
    <w:rsid w:val="006B1055"/>
    <w:rsid w:val="006B62E3"/>
    <w:rsid w:val="006B66E3"/>
    <w:rsid w:val="006F1934"/>
    <w:rsid w:val="0075022D"/>
    <w:rsid w:val="00784290"/>
    <w:rsid w:val="007960BB"/>
    <w:rsid w:val="007A260E"/>
    <w:rsid w:val="007B3C69"/>
    <w:rsid w:val="007B3E16"/>
    <w:rsid w:val="007B53E7"/>
    <w:rsid w:val="007E11FA"/>
    <w:rsid w:val="007F0722"/>
    <w:rsid w:val="0080263B"/>
    <w:rsid w:val="00806774"/>
    <w:rsid w:val="0082412F"/>
    <w:rsid w:val="008268C4"/>
    <w:rsid w:val="008479D8"/>
    <w:rsid w:val="0086082C"/>
    <w:rsid w:val="008765DF"/>
    <w:rsid w:val="0088567E"/>
    <w:rsid w:val="008A06C8"/>
    <w:rsid w:val="008C20DA"/>
    <w:rsid w:val="008C683A"/>
    <w:rsid w:val="008E69B0"/>
    <w:rsid w:val="009013B0"/>
    <w:rsid w:val="0093775A"/>
    <w:rsid w:val="0094725C"/>
    <w:rsid w:val="009504E1"/>
    <w:rsid w:val="0095167D"/>
    <w:rsid w:val="0097329E"/>
    <w:rsid w:val="0099055D"/>
    <w:rsid w:val="009B046C"/>
    <w:rsid w:val="009D617B"/>
    <w:rsid w:val="009E09D0"/>
    <w:rsid w:val="00A13085"/>
    <w:rsid w:val="00A27E10"/>
    <w:rsid w:val="00A31200"/>
    <w:rsid w:val="00A31D1B"/>
    <w:rsid w:val="00A50070"/>
    <w:rsid w:val="00A53B7C"/>
    <w:rsid w:val="00AE2131"/>
    <w:rsid w:val="00AE28FD"/>
    <w:rsid w:val="00B03E84"/>
    <w:rsid w:val="00B1091E"/>
    <w:rsid w:val="00B27115"/>
    <w:rsid w:val="00B32621"/>
    <w:rsid w:val="00B8246D"/>
    <w:rsid w:val="00B85FEE"/>
    <w:rsid w:val="00B86ACD"/>
    <w:rsid w:val="00B86BAF"/>
    <w:rsid w:val="00B94404"/>
    <w:rsid w:val="00BA37E4"/>
    <w:rsid w:val="00BE2D83"/>
    <w:rsid w:val="00C0156A"/>
    <w:rsid w:val="00C14588"/>
    <w:rsid w:val="00C21B42"/>
    <w:rsid w:val="00C65990"/>
    <w:rsid w:val="00C76573"/>
    <w:rsid w:val="00C81D60"/>
    <w:rsid w:val="00C848FE"/>
    <w:rsid w:val="00C84F74"/>
    <w:rsid w:val="00C9708B"/>
    <w:rsid w:val="00CA2E61"/>
    <w:rsid w:val="00CA7456"/>
    <w:rsid w:val="00CC559A"/>
    <w:rsid w:val="00CF187D"/>
    <w:rsid w:val="00D11697"/>
    <w:rsid w:val="00D14D4A"/>
    <w:rsid w:val="00D21C08"/>
    <w:rsid w:val="00D25245"/>
    <w:rsid w:val="00D45CD3"/>
    <w:rsid w:val="00D5253C"/>
    <w:rsid w:val="00D602EC"/>
    <w:rsid w:val="00D672A9"/>
    <w:rsid w:val="00D7099B"/>
    <w:rsid w:val="00D97A43"/>
    <w:rsid w:val="00DA13D6"/>
    <w:rsid w:val="00DB4CA9"/>
    <w:rsid w:val="00DD1C26"/>
    <w:rsid w:val="00DE4FA9"/>
    <w:rsid w:val="00E10CAC"/>
    <w:rsid w:val="00E1620C"/>
    <w:rsid w:val="00E177AD"/>
    <w:rsid w:val="00E63137"/>
    <w:rsid w:val="00E74D46"/>
    <w:rsid w:val="00E82211"/>
    <w:rsid w:val="00E9545C"/>
    <w:rsid w:val="00E959FE"/>
    <w:rsid w:val="00EA2BD4"/>
    <w:rsid w:val="00EB068C"/>
    <w:rsid w:val="00EB0E4B"/>
    <w:rsid w:val="00F052E8"/>
    <w:rsid w:val="00F307E7"/>
    <w:rsid w:val="00F34FE3"/>
    <w:rsid w:val="00F50F4C"/>
    <w:rsid w:val="00F61940"/>
    <w:rsid w:val="00F70505"/>
    <w:rsid w:val="00F80FD9"/>
    <w:rsid w:val="00FA0B78"/>
    <w:rsid w:val="00FA1477"/>
    <w:rsid w:val="00FB18E0"/>
    <w:rsid w:val="00FB503A"/>
    <w:rsid w:val="00FE53D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F667A"/>
  <w15:chartTrackingRefBased/>
  <w15:docId w15:val="{A13CE413-180E-443A-958B-FDA84E1A8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53B7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53B7C"/>
    <w:rPr>
      <w:rFonts w:ascii="Segoe UI" w:hAnsi="Segoe UI" w:cs="Segoe UI"/>
      <w:sz w:val="18"/>
      <w:szCs w:val="18"/>
    </w:rPr>
  </w:style>
  <w:style w:type="paragraph" w:styleId="Prrafodelista">
    <w:name w:val="List Paragraph"/>
    <w:basedOn w:val="Normal"/>
    <w:uiPriority w:val="34"/>
    <w:qFormat/>
    <w:rsid w:val="0082412F"/>
    <w:pPr>
      <w:ind w:left="720"/>
      <w:contextualSpacing/>
    </w:pPr>
  </w:style>
  <w:style w:type="paragraph" w:styleId="Textonotaalfinal">
    <w:name w:val="endnote text"/>
    <w:basedOn w:val="Normal"/>
    <w:link w:val="TextonotaalfinalCar"/>
    <w:uiPriority w:val="99"/>
    <w:semiHidden/>
    <w:unhideWhenUsed/>
    <w:rsid w:val="00D602E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D602EC"/>
    <w:rPr>
      <w:sz w:val="20"/>
      <w:szCs w:val="20"/>
    </w:rPr>
  </w:style>
  <w:style w:type="character" w:styleId="Refdenotaalfinal">
    <w:name w:val="endnote reference"/>
    <w:basedOn w:val="Fuentedeprrafopredeter"/>
    <w:uiPriority w:val="99"/>
    <w:semiHidden/>
    <w:unhideWhenUsed/>
    <w:rsid w:val="00D602EC"/>
    <w:rPr>
      <w:vertAlign w:val="superscript"/>
    </w:rPr>
  </w:style>
  <w:style w:type="paragraph" w:styleId="Textonotapie">
    <w:name w:val="footnote text"/>
    <w:basedOn w:val="Normal"/>
    <w:link w:val="TextonotapieCar"/>
    <w:uiPriority w:val="99"/>
    <w:semiHidden/>
    <w:unhideWhenUsed/>
    <w:rsid w:val="00D602E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602EC"/>
    <w:rPr>
      <w:sz w:val="20"/>
      <w:szCs w:val="20"/>
    </w:rPr>
  </w:style>
  <w:style w:type="character" w:styleId="Refdenotaalpie">
    <w:name w:val="footnote reference"/>
    <w:basedOn w:val="Fuentedeprrafopredeter"/>
    <w:uiPriority w:val="99"/>
    <w:semiHidden/>
    <w:unhideWhenUsed/>
    <w:rsid w:val="00D602EC"/>
    <w:rPr>
      <w:vertAlign w:val="superscript"/>
    </w:rPr>
  </w:style>
  <w:style w:type="paragraph" w:customStyle="1" w:styleId="Default">
    <w:name w:val="Default"/>
    <w:rsid w:val="006716D2"/>
    <w:pPr>
      <w:autoSpaceDE w:val="0"/>
      <w:autoSpaceDN w:val="0"/>
      <w:adjustRightInd w:val="0"/>
      <w:spacing w:after="0" w:line="240" w:lineRule="auto"/>
    </w:pPr>
    <w:rPr>
      <w:rFonts w:ascii="Calibri" w:hAnsi="Calibri" w:cs="Calibri"/>
      <w:color w:val="000000"/>
      <w:sz w:val="24"/>
      <w:szCs w:val="24"/>
    </w:rPr>
  </w:style>
  <w:style w:type="character" w:styleId="Refdecomentario">
    <w:name w:val="annotation reference"/>
    <w:basedOn w:val="Fuentedeprrafopredeter"/>
    <w:uiPriority w:val="99"/>
    <w:semiHidden/>
    <w:unhideWhenUsed/>
    <w:rsid w:val="00F70505"/>
    <w:rPr>
      <w:sz w:val="16"/>
      <w:szCs w:val="16"/>
    </w:rPr>
  </w:style>
  <w:style w:type="paragraph" w:styleId="Textocomentario">
    <w:name w:val="annotation text"/>
    <w:basedOn w:val="Normal"/>
    <w:link w:val="TextocomentarioCar"/>
    <w:uiPriority w:val="99"/>
    <w:semiHidden/>
    <w:unhideWhenUsed/>
    <w:rsid w:val="00F7050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70505"/>
    <w:rPr>
      <w:sz w:val="20"/>
      <w:szCs w:val="20"/>
    </w:rPr>
  </w:style>
  <w:style w:type="paragraph" w:styleId="Asuntodelcomentario">
    <w:name w:val="annotation subject"/>
    <w:basedOn w:val="Textocomentario"/>
    <w:next w:val="Textocomentario"/>
    <w:link w:val="AsuntodelcomentarioCar"/>
    <w:uiPriority w:val="99"/>
    <w:semiHidden/>
    <w:unhideWhenUsed/>
    <w:rsid w:val="00F70505"/>
    <w:rPr>
      <w:b/>
      <w:bCs/>
    </w:rPr>
  </w:style>
  <w:style w:type="character" w:customStyle="1" w:styleId="AsuntodelcomentarioCar">
    <w:name w:val="Asunto del comentario Car"/>
    <w:basedOn w:val="TextocomentarioCar"/>
    <w:link w:val="Asuntodelcomentario"/>
    <w:uiPriority w:val="99"/>
    <w:semiHidden/>
    <w:rsid w:val="00F70505"/>
    <w:rPr>
      <w:b/>
      <w:bCs/>
      <w:sz w:val="20"/>
      <w:szCs w:val="20"/>
    </w:rPr>
  </w:style>
  <w:style w:type="paragraph" w:styleId="Revisin">
    <w:name w:val="Revision"/>
    <w:hidden/>
    <w:uiPriority w:val="99"/>
    <w:semiHidden/>
    <w:rsid w:val="00046386"/>
    <w:pPr>
      <w:spacing w:after="0" w:line="240" w:lineRule="auto"/>
    </w:pPr>
  </w:style>
  <w:style w:type="paragraph" w:styleId="Encabezado">
    <w:name w:val="header"/>
    <w:basedOn w:val="Normal"/>
    <w:link w:val="EncabezadoCar"/>
    <w:uiPriority w:val="99"/>
    <w:unhideWhenUsed/>
    <w:rsid w:val="00470AB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70AB9"/>
  </w:style>
  <w:style w:type="paragraph" w:styleId="Piedepgina">
    <w:name w:val="footer"/>
    <w:basedOn w:val="Normal"/>
    <w:link w:val="PiedepginaCar"/>
    <w:uiPriority w:val="99"/>
    <w:unhideWhenUsed/>
    <w:rsid w:val="00470AB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70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8957">
      <w:bodyDiv w:val="1"/>
      <w:marLeft w:val="0"/>
      <w:marRight w:val="0"/>
      <w:marTop w:val="0"/>
      <w:marBottom w:val="0"/>
      <w:divBdr>
        <w:top w:val="none" w:sz="0" w:space="0" w:color="auto"/>
        <w:left w:val="none" w:sz="0" w:space="0" w:color="auto"/>
        <w:bottom w:val="none" w:sz="0" w:space="0" w:color="auto"/>
        <w:right w:val="none" w:sz="0" w:space="0" w:color="auto"/>
      </w:divBdr>
    </w:div>
    <w:div w:id="637994619">
      <w:bodyDiv w:val="1"/>
      <w:marLeft w:val="0"/>
      <w:marRight w:val="0"/>
      <w:marTop w:val="0"/>
      <w:marBottom w:val="0"/>
      <w:divBdr>
        <w:top w:val="none" w:sz="0" w:space="0" w:color="auto"/>
        <w:left w:val="none" w:sz="0" w:space="0" w:color="auto"/>
        <w:bottom w:val="none" w:sz="0" w:space="0" w:color="auto"/>
        <w:right w:val="none" w:sz="0" w:space="0" w:color="auto"/>
      </w:divBdr>
    </w:div>
    <w:div w:id="827481848">
      <w:bodyDiv w:val="1"/>
      <w:marLeft w:val="0"/>
      <w:marRight w:val="0"/>
      <w:marTop w:val="0"/>
      <w:marBottom w:val="0"/>
      <w:divBdr>
        <w:top w:val="none" w:sz="0" w:space="0" w:color="auto"/>
        <w:left w:val="none" w:sz="0" w:space="0" w:color="auto"/>
        <w:bottom w:val="none" w:sz="0" w:space="0" w:color="auto"/>
        <w:right w:val="none" w:sz="0" w:space="0" w:color="auto"/>
      </w:divBdr>
    </w:div>
    <w:div w:id="15786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D0057-2C2D-43ED-A84D-EC7FA1E1E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15</Pages>
  <Words>4022</Words>
  <Characters>22121</Characters>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2023-11-15T10:48:00Z</cp:lastPrinted>
  <dcterms:created xsi:type="dcterms:W3CDTF">2023-10-04T15:59:00Z</dcterms:created>
  <dcterms:modified xsi:type="dcterms:W3CDTF">2026-05-28T11:47:00Z</dcterms:modified>
</cp:coreProperties>
</file>